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786" w:rsidRPr="004C38CC" w:rsidRDefault="00D81437" w:rsidP="00EC1786">
      <w:pPr>
        <w:jc w:val="center"/>
        <w:rPr>
          <w:rFonts w:asciiTheme="majorHAnsi" w:hAnsiTheme="majorHAnsi"/>
          <w:sz w:val="28"/>
          <w:szCs w:val="28"/>
          <w:u w:val="single"/>
        </w:rPr>
      </w:pPr>
      <w:r>
        <w:rPr>
          <w:rFonts w:asciiTheme="majorHAnsi" w:hAnsiTheme="majorHAnsi"/>
          <w:noProof/>
          <w:sz w:val="28"/>
          <w:szCs w:val="28"/>
          <w:lang w:val="fr"/>
        </w:rPr>
        <w:pict>
          <v:shapetype id="_x0000_t202" coordsize="21600,21600" o:spt="202" path="m,l,21600r21600,l21600,xe">
            <v:stroke joinstyle="miter"/>
            <v:path gradientshapeok="t" o:connecttype="rect"/>
          </v:shapetype>
          <v:shape id="Text Box 2" o:spid="_x0000_s1026" type="#_x0000_t202" style="position:absolute;left:0;text-align:left;margin-left:-101.3pt;margin-top:-57.2pt;width:100.8pt;height:7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" filled="f" stroked="f">
            <v:textbox style="layout-flow:vertical;mso-layout-flow-alt:bottom-to-top">
              <w:txbxContent>
                <w:p w:rsidR="00907872" w:rsidRPr="0070221F" w:rsidRDefault="00907872" w:rsidP="00EC1786">
                  <w:pPr>
                    <w:rPr>
                      <w:rFonts w:ascii="Arial" w:hAnsi="Arial" w:cs="Arial"/>
                      <w:sz w:val="144"/>
                      <w:szCs w:val="144"/>
                    </w:rPr>
                  </w:pPr>
                  <w:r>
                    <w:rPr>
                      <w:rFonts w:ascii="Arial" w:hAnsi="Arial" w:cs="Arial"/>
                      <w:sz w:val="144"/>
                      <w:szCs w:val="144"/>
                      <w:lang w:val="fr"/>
                    </w:rPr>
                    <w:t xml:space="preserve">  </w:t>
                  </w:r>
                  <w:r w:rsidR="002C06AA">
                    <w:rPr>
                      <w:rFonts w:ascii="Arial" w:hAnsi="Arial" w:cs="Arial"/>
                      <w:sz w:val="144"/>
                      <w:szCs w:val="144"/>
                      <w:lang w:val="fr"/>
                    </w:rPr>
                    <w:t>Informations</w:t>
                  </w:r>
                  <w:r>
                    <w:rPr>
                      <w:rFonts w:ascii="Arial" w:hAnsi="Arial" w:cs="Arial"/>
                      <w:sz w:val="144"/>
                      <w:szCs w:val="144"/>
                      <w:lang w:val="fr"/>
                    </w:rPr>
                    <w:t xml:space="preserve"> de presse</w:t>
                  </w:r>
                </w:p>
              </w:txbxContent>
            </v:textbox>
          </v:shape>
        </w:pict>
      </w:r>
      <w:r w:rsidR="00FC064C">
        <w:rPr>
          <w:rFonts w:asciiTheme="majorHAnsi" w:hAnsiTheme="majorHAnsi"/>
          <w:noProof/>
          <w:sz w:val="28"/>
          <w:szCs w:val="28"/>
          <w:u w:val="single"/>
          <w:lang w:val="en-GB" w:eastAsia="en-GB"/>
        </w:rPr>
        <w:drawing>
          <wp:inline distT="0" distB="0" distL="0" distR="0">
            <wp:extent cx="5731510" cy="1685290"/>
            <wp:effectExtent l="0" t="0" r="0" b="0"/>
            <wp:docPr id="3" name="Picture 0" descr="MC-CR GMTI 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CR GMTI logo transparent.png"/>
                    <pic:cNvPicPr/>
                  </pic:nvPicPr>
                  <pic:blipFill>
                    <a:blip r:embed="rId7" cstate="print"/>
                    <a:stretch>
                      <a:fillRect/>
                    </a:stretch>
                  </pic:blipFill>
                  <pic:spPr>
                    <a:xfrm>
                      <a:off x="0" y="0"/>
                      <a:ext cx="5731510" cy="1685290"/>
                    </a:xfrm>
                    <a:prstGeom prst="rect">
                      <a:avLst/>
                    </a:prstGeom>
                  </pic:spPr>
                </pic:pic>
              </a:graphicData>
            </a:graphic>
          </wp:inline>
        </w:drawing>
      </w:r>
    </w:p>
    <w:p w:rsidR="00731378" w:rsidRPr="002C06AA" w:rsidRDefault="00D31631" w:rsidP="00D31631">
      <w:pPr>
        <w:shd w:val="clear" w:color="auto" w:fill="FFFFFF"/>
        <w:spacing w:after="240" w:line="240" w:lineRule="auto"/>
        <w:jc w:val="center"/>
        <w:rPr>
          <w:rFonts w:asciiTheme="majorHAnsi" w:eastAsia="Times New Roman" w:hAnsiTheme="majorHAnsi" w:cs="Helvetica"/>
          <w:b/>
          <w:sz w:val="28"/>
          <w:szCs w:val="28"/>
          <w:lang w:val="fr-FR"/>
        </w:rPr>
      </w:pPr>
      <w:r>
        <w:rPr>
          <w:rFonts w:asciiTheme="majorHAnsi" w:eastAsia="Times New Roman" w:hAnsiTheme="majorHAnsi" w:cs="Helvetica"/>
          <w:b/>
          <w:bCs/>
          <w:sz w:val="28"/>
          <w:szCs w:val="28"/>
          <w:lang w:val="fr"/>
        </w:rPr>
        <w:t>France Classé Sixième dans l'Indice MasterCard-CrescentRating de les Voyages Mondial de Musulmans (GMTI) 2016</w:t>
      </w:r>
    </w:p>
    <w:p w:rsidR="00906ABA" w:rsidRPr="002C06AA" w:rsidRDefault="00043C15" w:rsidP="00D31631">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val="fr-FR"/>
        </w:rPr>
      </w:pPr>
      <w:r>
        <w:rPr>
          <w:rFonts w:asciiTheme="majorHAnsi" w:eastAsia="Times New Roman" w:hAnsiTheme="majorHAnsi" w:cs="Helvetica"/>
          <w:sz w:val="24"/>
          <w:szCs w:val="24"/>
          <w:lang w:val="fr"/>
        </w:rPr>
        <w:t xml:space="preserve">France réclame la sixième place parmi les pays non membres de </w:t>
      </w:r>
      <w:r w:rsidR="002C06AA">
        <w:rPr>
          <w:rFonts w:asciiTheme="majorHAnsi" w:eastAsia="Times New Roman" w:hAnsiTheme="majorHAnsi" w:cs="Helvetica"/>
          <w:sz w:val="24"/>
          <w:szCs w:val="24"/>
          <w:lang w:val="fr"/>
        </w:rPr>
        <w:t>l’OCI ;</w:t>
      </w:r>
      <w:r>
        <w:rPr>
          <w:rFonts w:asciiTheme="majorHAnsi" w:eastAsia="Times New Roman" w:hAnsiTheme="majorHAnsi" w:cs="Helvetica"/>
          <w:sz w:val="24"/>
          <w:szCs w:val="24"/>
          <w:lang w:val="fr"/>
        </w:rPr>
        <w:t xml:space="preserve"> et Singapour en gardant la première place, suivie par la Thaïlande, Royaume-Uni, Afrique du Sud et Hong Kong.</w:t>
      </w:r>
    </w:p>
    <w:p w:rsidR="00D31631" w:rsidRPr="002C06AA" w:rsidRDefault="00D31631" w:rsidP="00D31631">
      <w:pPr>
        <w:pStyle w:val="ListParagraph"/>
        <w:numPr>
          <w:ilvl w:val="0"/>
          <w:numId w:val="1"/>
        </w:numPr>
        <w:shd w:val="clear" w:color="auto" w:fill="FFFFFF"/>
        <w:spacing w:after="240" w:line="240" w:lineRule="auto"/>
        <w:rPr>
          <w:rFonts w:asciiTheme="majorHAnsi" w:hAnsiTheme="majorHAnsi" w:cs="Helvetica"/>
          <w:sz w:val="24"/>
          <w:szCs w:val="24"/>
          <w:shd w:val="clear" w:color="auto" w:fill="FFFFFF"/>
          <w:lang w:val="fr-FR"/>
        </w:rPr>
      </w:pPr>
      <w:r>
        <w:rPr>
          <w:lang w:val="fr"/>
        </w:rPr>
        <w:t xml:space="preserve">Malaisie en tête de liste pour la deuxième année consécutive, pendant que les Emirats Arabes Unis, la Turquie, l'Indonésie et le Qatar complètent les cinq premiers pays </w:t>
      </w:r>
      <w:r w:rsidR="002C06AA">
        <w:rPr>
          <w:lang w:val="fr"/>
        </w:rPr>
        <w:t>membres</w:t>
      </w:r>
      <w:r>
        <w:rPr>
          <w:lang w:val="fr"/>
        </w:rPr>
        <w:t xml:space="preserve"> de l'OCI.</w:t>
      </w:r>
    </w:p>
    <w:p w:rsidR="00D31631" w:rsidRPr="002C06AA" w:rsidRDefault="00D31631" w:rsidP="00D31631">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val="fr-FR"/>
        </w:rPr>
      </w:pPr>
      <w:r>
        <w:rPr>
          <w:rFonts w:asciiTheme="majorHAnsi" w:eastAsia="Times New Roman" w:hAnsiTheme="majorHAnsi" w:cs="Helvetica"/>
          <w:sz w:val="24"/>
          <w:szCs w:val="24"/>
          <w:lang w:val="fr"/>
        </w:rPr>
        <w:t>Singapour est la première place dans la liste des pays non membres de l'OCI, suivie par la Thaïlande, Royaume-Uni, Afrique du Sud et Hong Kong.</w:t>
      </w:r>
    </w:p>
    <w:p w:rsidR="00D31631" w:rsidRPr="002C06AA" w:rsidRDefault="00D31631" w:rsidP="00D31631">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val="fr-FR"/>
        </w:rPr>
      </w:pPr>
      <w:r>
        <w:rPr>
          <w:rFonts w:asciiTheme="majorHAnsi" w:eastAsia="Times New Roman" w:hAnsiTheme="majorHAnsi" w:cs="Helvetica"/>
          <w:sz w:val="24"/>
          <w:szCs w:val="24"/>
          <w:lang w:val="fr"/>
        </w:rPr>
        <w:t>L'Asie et l'Europe sont les deux principales régions attirant les visiteurs musulmans, ce qui représente 87 pour cent de la totalité du marché voyage musulman.</w:t>
      </w:r>
    </w:p>
    <w:p w:rsidR="00D31631" w:rsidRPr="002C06AA" w:rsidRDefault="00D31631" w:rsidP="00D31631">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val="fr-FR"/>
        </w:rPr>
      </w:pPr>
      <w:r>
        <w:rPr>
          <w:rFonts w:asciiTheme="majorHAnsi" w:eastAsia="Times New Roman" w:hAnsiTheme="majorHAnsi" w:cs="Helvetica"/>
          <w:sz w:val="24"/>
          <w:szCs w:val="24"/>
          <w:lang w:val="fr"/>
        </w:rPr>
        <w:t>En 2015, les estimés total des arrivées de visiteurs musulmans étaient de 117 millions, ce qui représente 10 pour cent de la totalité d'économie du le voyage. Cela devrait passer à 168 millions de voyageurs en 2020, dépensant de plus de 200 milliards dollars américains.</w:t>
      </w:r>
    </w:p>
    <w:p w:rsidR="00D31631" w:rsidRPr="002C06AA" w:rsidRDefault="00772FEC" w:rsidP="00772FEC">
      <w:pPr>
        <w:pStyle w:val="ListParagraph"/>
        <w:numPr>
          <w:ilvl w:val="0"/>
          <w:numId w:val="1"/>
        </w:numPr>
        <w:shd w:val="clear" w:color="auto" w:fill="FFFFFF"/>
        <w:spacing w:after="240" w:line="240" w:lineRule="auto"/>
        <w:rPr>
          <w:rFonts w:asciiTheme="majorHAnsi" w:eastAsia="Times New Roman" w:hAnsiTheme="majorHAnsi" w:cs="Helvetica"/>
          <w:b/>
          <w:sz w:val="28"/>
          <w:szCs w:val="28"/>
          <w:lang w:val="fr-FR"/>
        </w:rPr>
      </w:pPr>
      <w:r w:rsidRPr="00772FEC">
        <w:rPr>
          <w:rFonts w:asciiTheme="majorHAnsi" w:eastAsia="Times New Roman" w:hAnsiTheme="majorHAnsi" w:cs="Helvetica"/>
          <w:sz w:val="24"/>
          <w:szCs w:val="24"/>
          <w:lang w:val="fr"/>
        </w:rPr>
        <w:t>https://www.crescentrating.com/mastercard-crescentrating-global-muslim-travel-index-gmti-2016.html</w:t>
      </w:r>
      <w:bookmarkStart w:id="0" w:name="_GoBack"/>
      <w:bookmarkEnd w:id="0"/>
    </w:p>
    <w:p w:rsidR="00A343DA" w:rsidRPr="002C06AA" w:rsidRDefault="00D31631" w:rsidP="00A343DA">
      <w:pPr>
        <w:shd w:val="clear" w:color="auto" w:fill="FFFFFF"/>
        <w:spacing w:after="240" w:line="240" w:lineRule="auto"/>
        <w:rPr>
          <w:rFonts w:asciiTheme="majorHAnsi" w:eastAsia="Times New Roman" w:hAnsiTheme="majorHAnsi" w:cs="Helvetica"/>
          <w:b/>
          <w:bCs/>
          <w:sz w:val="28"/>
          <w:szCs w:val="28"/>
          <w:lang w:val="fr-FR"/>
        </w:rPr>
      </w:pPr>
      <w:r>
        <w:rPr>
          <w:rFonts w:asciiTheme="majorHAnsi" w:eastAsia="Times New Roman" w:hAnsiTheme="majorHAnsi" w:cs="Helvetica"/>
          <w:b/>
          <w:bCs/>
          <w:sz w:val="28"/>
          <w:szCs w:val="28"/>
          <w:lang w:val="fr"/>
        </w:rPr>
        <w:t xml:space="preserve">Jakarta, le 23 Mars 2016 - </w:t>
      </w:r>
      <w:r>
        <w:rPr>
          <w:rFonts w:asciiTheme="majorHAnsi" w:eastAsia="Times New Roman" w:hAnsiTheme="majorHAnsi" w:cs="Helvetica"/>
          <w:sz w:val="28"/>
          <w:szCs w:val="28"/>
          <w:lang w:val="fr"/>
        </w:rPr>
        <w:t>La France est la sixième destination la plus populaire sur le marché mondial de les voyages musulman, selon la recherche la plus complète publiée sur ce secteur.</w:t>
      </w:r>
      <w:r>
        <w:rPr>
          <w:rFonts w:asciiTheme="majorHAnsi" w:eastAsia="Times New Roman" w:hAnsiTheme="majorHAnsi" w:cs="Helvetica"/>
          <w:b/>
          <w:bCs/>
          <w:sz w:val="28"/>
          <w:szCs w:val="28"/>
          <w:lang w:val="fr"/>
        </w:rPr>
        <w:t xml:space="preserve"> </w:t>
      </w:r>
    </w:p>
    <w:p w:rsidR="00C4787A" w:rsidRPr="002C06AA" w:rsidRDefault="00D31631" w:rsidP="00C4787A">
      <w:pPr>
        <w:shd w:val="clear" w:color="auto" w:fill="FFFFFF"/>
        <w:spacing w:after="240" w:line="240" w:lineRule="auto"/>
        <w:rPr>
          <w:rFonts w:asciiTheme="majorHAnsi" w:eastAsia="Times New Roman" w:hAnsiTheme="majorHAnsi" w:cs="Helvetica"/>
          <w:b/>
          <w:bCs/>
          <w:sz w:val="28"/>
          <w:szCs w:val="28"/>
          <w:lang w:val="fr-FR"/>
        </w:rPr>
      </w:pPr>
      <w:r>
        <w:rPr>
          <w:rFonts w:asciiTheme="majorHAnsi" w:hAnsiTheme="majorHAnsi"/>
          <w:sz w:val="28"/>
          <w:szCs w:val="28"/>
          <w:shd w:val="clear" w:color="auto" w:fill="FFFFFF"/>
          <w:lang w:val="fr"/>
        </w:rPr>
        <w:t>L'Indice MasterCard-CrescentRating de les Voyages Mondial de Musulmans (GMTI) 2016, qui couvre 130 destinations, a vu France tomber une position de l'année dernière on la liste des destinations non membres de l'Organisation de la Coopération Islamique (l'OCI).</w:t>
      </w:r>
    </w:p>
    <w:p w:rsidR="006D2301" w:rsidRPr="002C06AA" w:rsidRDefault="006D2301" w:rsidP="006D2301">
      <w:pPr>
        <w:shd w:val="clear" w:color="auto" w:fill="FFFFFF"/>
        <w:spacing w:after="240" w:line="240" w:lineRule="auto"/>
        <w:rPr>
          <w:rFonts w:asciiTheme="majorHAnsi" w:hAnsiTheme="majorHAnsi" w:cs="Arial"/>
          <w:sz w:val="28"/>
          <w:szCs w:val="28"/>
          <w:lang w:val="fr-FR"/>
        </w:rPr>
      </w:pPr>
      <w:r>
        <w:rPr>
          <w:rFonts w:asciiTheme="majorHAnsi" w:hAnsiTheme="majorHAnsi"/>
          <w:sz w:val="28"/>
          <w:szCs w:val="28"/>
          <w:lang w:val="fr"/>
        </w:rPr>
        <w:t>Singapour a conservé sa pole position pour les destinations non-OCI, qui a également vu la Thaïlande, Royaume-Uni et Afrique du Sud de prendre les premières places, avec Hong Kong en prenant la cinquième position.</w:t>
      </w:r>
    </w:p>
    <w:p w:rsidR="006D2301" w:rsidRPr="002C06AA" w:rsidRDefault="006D2301" w:rsidP="006D2301">
      <w:pPr>
        <w:shd w:val="clear" w:color="auto" w:fill="FFFFFF"/>
        <w:spacing w:after="240" w:line="240" w:lineRule="auto"/>
        <w:rPr>
          <w:rFonts w:asciiTheme="majorHAnsi" w:hAnsiTheme="majorHAnsi" w:cs="Arial"/>
          <w:sz w:val="28"/>
          <w:szCs w:val="28"/>
          <w:lang w:val="fr-FR"/>
        </w:rPr>
      </w:pPr>
      <w:r>
        <w:rPr>
          <w:rFonts w:asciiTheme="majorHAnsi" w:hAnsiTheme="majorHAnsi"/>
          <w:sz w:val="28"/>
          <w:szCs w:val="28"/>
          <w:shd w:val="clear" w:color="auto" w:fill="FFFFFF"/>
          <w:lang w:val="fr"/>
        </w:rPr>
        <w:t xml:space="preserve">Malaisie gardé la première place pour les destinations OCI, avec UAE se déplaçant à la deuxième place tandis que l'Indonésie a sauté deux endroits pour prendre la quatrième place. </w:t>
      </w:r>
    </w:p>
    <w:p w:rsidR="00D31631" w:rsidRPr="002C06AA" w:rsidRDefault="00D31631" w:rsidP="00D31631">
      <w:pPr>
        <w:shd w:val="clear" w:color="auto" w:fill="FFFFFF"/>
        <w:spacing w:after="240" w:line="240" w:lineRule="auto"/>
        <w:rPr>
          <w:rFonts w:asciiTheme="majorHAnsi" w:hAnsiTheme="majorHAnsi"/>
          <w:sz w:val="28"/>
          <w:szCs w:val="28"/>
          <w:lang w:val="fr-FR"/>
        </w:rPr>
      </w:pPr>
      <w:r>
        <w:rPr>
          <w:rFonts w:asciiTheme="majorHAnsi" w:hAnsiTheme="majorHAnsi"/>
          <w:sz w:val="28"/>
          <w:szCs w:val="28"/>
          <w:lang w:val="fr"/>
        </w:rPr>
        <w:t xml:space="preserve">L'étude a également révélé que, en 2015, on estimait à 117 millions d'arrivées de visiteurs musulmans dans le monde, ce qui représente près de 10 pour cent de la totalité d'économie du le voyage. Ce chiffre devrait passer à 168 millions de visiteurs en 2020 égale à 11 pour cent du segment de marché avec une valeur de marché devrait dépasser 200 milliards dollars américains. </w:t>
      </w:r>
    </w:p>
    <w:p w:rsidR="00D31631" w:rsidRPr="002C06AA" w:rsidRDefault="00D31631" w:rsidP="00D31631">
      <w:pPr>
        <w:shd w:val="clear" w:color="auto" w:fill="FFFFFF"/>
        <w:spacing w:after="240" w:line="240" w:lineRule="auto"/>
        <w:rPr>
          <w:rFonts w:asciiTheme="majorHAnsi" w:hAnsiTheme="majorHAnsi"/>
          <w:sz w:val="28"/>
          <w:szCs w:val="28"/>
          <w:lang w:val="fr-FR"/>
        </w:rPr>
      </w:pPr>
      <w:r>
        <w:rPr>
          <w:rFonts w:asciiTheme="majorHAnsi" w:hAnsiTheme="majorHAnsi" w:cs="Helvetica"/>
          <w:sz w:val="28"/>
          <w:szCs w:val="28"/>
          <w:shd w:val="clear" w:color="auto" w:fill="FFFFFF"/>
          <w:lang w:val="fr"/>
        </w:rPr>
        <w:t>L'Asie et l'Europe ont également révélé que les deux régions de premier plan dans le monde pour attirer les visiteurs musulmans, ce qui représente 87 pour cent de la totalité du marché.</w:t>
      </w:r>
    </w:p>
    <w:p w:rsidR="00D31631" w:rsidRPr="002C06AA" w:rsidRDefault="00D31631" w:rsidP="00D31631">
      <w:pPr>
        <w:shd w:val="clear" w:color="auto" w:fill="FFFFFF"/>
        <w:spacing w:after="240" w:line="240" w:lineRule="auto"/>
        <w:rPr>
          <w:rFonts w:asciiTheme="majorHAnsi" w:hAnsiTheme="majorHAnsi"/>
          <w:sz w:val="28"/>
          <w:szCs w:val="28"/>
          <w:lang w:val="fr-FR"/>
        </w:rPr>
      </w:pPr>
      <w:r>
        <w:rPr>
          <w:rFonts w:asciiTheme="majorHAnsi" w:hAnsiTheme="majorHAnsi"/>
          <w:i/>
          <w:iCs/>
          <w:sz w:val="28"/>
          <w:szCs w:val="28"/>
          <w:lang w:val="fr"/>
        </w:rPr>
        <w:t>« L'indice MasterCard-CrescentRating mondial musulman Voyage 2016 est maintenant devenu le numéro un outil pour destinations à travers le monde pour réaligner leurs stratégies pour atteindre le consommateur musulman.</w:t>
      </w:r>
      <w:r>
        <w:rPr>
          <w:rFonts w:asciiTheme="majorHAnsi" w:hAnsiTheme="majorHAnsi"/>
          <w:sz w:val="28"/>
          <w:szCs w:val="28"/>
          <w:lang w:val="fr"/>
        </w:rPr>
        <w:t xml:space="preserve"> </w:t>
      </w:r>
      <w:r>
        <w:rPr>
          <w:rFonts w:asciiTheme="majorHAnsi" w:hAnsiTheme="majorHAnsi"/>
          <w:i/>
          <w:iCs/>
          <w:sz w:val="28"/>
          <w:szCs w:val="28"/>
          <w:lang w:val="fr"/>
        </w:rPr>
        <w:t xml:space="preserve">Une des plus grandes tendances que nous constatons est des destinations non-OCI faisant un effort concerté pour attirer les touristes musulmans et ils représentent maintenant plus de 63 pour cent des destinations couvertes par le GMTI.  Par exemple, le Japon et les Philippines ont pris des mesures importantes au cours des derniers mois pour diversifier leurs arrivées de visiteurs et de stimuler leur économie dans le </w:t>
      </w:r>
      <w:r w:rsidR="002C06AA">
        <w:rPr>
          <w:rFonts w:asciiTheme="majorHAnsi" w:hAnsiTheme="majorHAnsi"/>
          <w:i/>
          <w:iCs/>
          <w:sz w:val="28"/>
          <w:szCs w:val="28"/>
          <w:lang w:val="fr"/>
        </w:rPr>
        <w:t>processus »</w:t>
      </w:r>
      <w:r>
        <w:rPr>
          <w:rFonts w:asciiTheme="majorHAnsi" w:hAnsiTheme="majorHAnsi"/>
          <w:i/>
          <w:iCs/>
          <w:sz w:val="28"/>
          <w:szCs w:val="28"/>
          <w:lang w:val="fr"/>
        </w:rPr>
        <w:t xml:space="preserve">, </w:t>
      </w:r>
      <w:r>
        <w:rPr>
          <w:rFonts w:asciiTheme="majorHAnsi" w:hAnsiTheme="majorHAnsi"/>
          <w:b/>
          <w:bCs/>
          <w:sz w:val="28"/>
          <w:szCs w:val="28"/>
          <w:lang w:val="fr"/>
        </w:rPr>
        <w:t xml:space="preserve">a </w:t>
      </w:r>
      <w:r w:rsidR="002C06AA">
        <w:rPr>
          <w:rFonts w:asciiTheme="majorHAnsi" w:hAnsiTheme="majorHAnsi"/>
          <w:b/>
          <w:bCs/>
          <w:sz w:val="28"/>
          <w:szCs w:val="28"/>
          <w:lang w:val="fr"/>
        </w:rPr>
        <w:t>déclaré Fazal</w:t>
      </w:r>
      <w:r>
        <w:rPr>
          <w:rFonts w:asciiTheme="majorHAnsi" w:hAnsiTheme="majorHAnsi"/>
          <w:b/>
          <w:bCs/>
          <w:sz w:val="28"/>
          <w:szCs w:val="28"/>
          <w:lang w:val="fr"/>
        </w:rPr>
        <w:t xml:space="preserve"> Bahardeen, PDG de CrescentRating &amp; HalalTrip.</w:t>
      </w:r>
    </w:p>
    <w:p w:rsidR="00D31631" w:rsidRPr="002C06AA" w:rsidRDefault="00D31631" w:rsidP="00D31631">
      <w:pPr>
        <w:shd w:val="clear" w:color="auto" w:fill="FFFFFF"/>
        <w:spacing w:after="240"/>
        <w:rPr>
          <w:rFonts w:asciiTheme="majorHAnsi" w:hAnsiTheme="majorHAnsi"/>
          <w:i/>
          <w:sz w:val="28"/>
          <w:lang w:val="fr-FR"/>
        </w:rPr>
      </w:pPr>
      <w:r>
        <w:rPr>
          <w:rFonts w:asciiTheme="majorHAnsi" w:hAnsiTheme="majorHAnsi"/>
          <w:i/>
          <w:iCs/>
          <w:sz w:val="28"/>
          <w:lang w:val="fr"/>
        </w:rPr>
        <w:t>« De nombreuses destinations déjà réussies à travers le monde cherchent à diversifier leur base de visiteurs pour maintenir les taux de croissance du tourisme dans le marché de Voyage de plus en plus concurrentiel d'aujourd'hui. Le segment Voyage musulman croissance rapide est une occasion à la vue mais afin d'en tirer profit, il est crucial de comprendre les besoins et les préférences des voyageurs musulmans et la façon d'adapter et de mesurer des produits et des services pour eux. Nous croyons que la GMTI apporte une réelle valeur aux entreprises et gouvernements qui cherchent à puiser dans ce segment de marché important »</w:t>
      </w:r>
      <w:r>
        <w:rPr>
          <w:rFonts w:asciiTheme="majorHAnsi" w:hAnsiTheme="majorHAnsi"/>
          <w:sz w:val="28"/>
          <w:lang w:val="fr"/>
        </w:rPr>
        <w:t xml:space="preserve"> </w:t>
      </w:r>
      <w:r>
        <w:rPr>
          <w:rFonts w:asciiTheme="majorHAnsi" w:hAnsiTheme="majorHAnsi"/>
          <w:b/>
          <w:bCs/>
          <w:sz w:val="28"/>
          <w:lang w:val="fr"/>
        </w:rPr>
        <w:t xml:space="preserve">a déclaré Matthew Pilote, Directeur Général, Groupe des Produits &amp; Solutions </w:t>
      </w:r>
      <w:r w:rsidR="002C06AA">
        <w:rPr>
          <w:rFonts w:asciiTheme="majorHAnsi" w:hAnsiTheme="majorHAnsi"/>
          <w:b/>
          <w:bCs/>
          <w:sz w:val="28"/>
          <w:lang w:val="fr"/>
        </w:rPr>
        <w:t>Mondiaux</w:t>
      </w:r>
      <w:r>
        <w:rPr>
          <w:rFonts w:asciiTheme="majorHAnsi" w:hAnsiTheme="majorHAnsi"/>
          <w:b/>
          <w:bCs/>
          <w:sz w:val="28"/>
          <w:lang w:val="fr"/>
        </w:rPr>
        <w:t>, Asie-Pacifique, MasterCard.</w:t>
      </w:r>
    </w:p>
    <w:p w:rsidR="00D31631" w:rsidRPr="002C06AA" w:rsidRDefault="00D31631" w:rsidP="00D31631">
      <w:pPr>
        <w:shd w:val="clear" w:color="auto" w:fill="FFFFFF"/>
        <w:spacing w:after="240" w:line="240" w:lineRule="auto"/>
        <w:rPr>
          <w:rFonts w:asciiTheme="majorHAnsi" w:hAnsiTheme="majorHAnsi"/>
          <w:sz w:val="28"/>
          <w:szCs w:val="28"/>
          <w:lang w:val="fr-FR"/>
        </w:rPr>
      </w:pPr>
      <w:r>
        <w:rPr>
          <w:lang w:val="fr"/>
        </w:rPr>
        <w:t xml:space="preserve">Le GMTI 2016 est de recherche le plus complet </w:t>
      </w:r>
      <w:r w:rsidR="002C06AA">
        <w:rPr>
          <w:lang w:val="fr"/>
        </w:rPr>
        <w:t>avalable</w:t>
      </w:r>
      <w:r>
        <w:rPr>
          <w:lang w:val="fr"/>
        </w:rPr>
        <w:t xml:space="preserve"> sur l'un des secteurs les plus dynamiques du tourisme dans le monde, ce qui représente 10 pour cent de la totalité d'économie du le voyage.</w:t>
      </w:r>
      <w:r>
        <w:rPr>
          <w:rFonts w:asciiTheme="majorHAnsi" w:hAnsiTheme="majorHAnsi"/>
          <w:sz w:val="28"/>
          <w:szCs w:val="28"/>
          <w:lang w:val="fr"/>
        </w:rPr>
        <w:t xml:space="preserve"> </w:t>
      </w:r>
    </w:p>
    <w:p w:rsidR="00D31631" w:rsidRPr="002C06AA" w:rsidRDefault="00D31631" w:rsidP="00D31631">
      <w:pPr>
        <w:shd w:val="clear" w:color="auto" w:fill="FFFFFF"/>
        <w:spacing w:after="240" w:line="240" w:lineRule="auto"/>
        <w:rPr>
          <w:rFonts w:asciiTheme="majorHAnsi" w:eastAsia="Times New Roman" w:hAnsiTheme="majorHAnsi" w:cs="Helvetica"/>
          <w:b/>
          <w:bCs/>
          <w:sz w:val="28"/>
          <w:szCs w:val="28"/>
          <w:lang w:val="fr-FR"/>
        </w:rPr>
      </w:pPr>
      <w:r>
        <w:rPr>
          <w:rFonts w:asciiTheme="majorHAnsi" w:hAnsiTheme="majorHAnsi" w:cs="Helvetica"/>
          <w:sz w:val="28"/>
          <w:szCs w:val="28"/>
          <w:shd w:val="clear" w:color="auto" w:fill="FFFFFF"/>
          <w:lang w:val="fr"/>
        </w:rPr>
        <w:t xml:space="preserve">Le GMTI examine les données en profondeur couvrant 130 destinations, par rapport à 100 en 2015. Ceci est la première fois que de telles connaissances approfondies ont été fournies sur l'un des secteurs les plus dynamiques du tourisme du monde. </w:t>
      </w:r>
    </w:p>
    <w:p w:rsidR="00D31631" w:rsidRPr="002C06AA" w:rsidRDefault="00D31631" w:rsidP="00D31631">
      <w:pPr>
        <w:shd w:val="clear" w:color="auto" w:fill="FFFFFF"/>
        <w:spacing w:after="240" w:line="240" w:lineRule="auto"/>
        <w:rPr>
          <w:rFonts w:asciiTheme="majorHAnsi" w:eastAsia="Times New Roman" w:hAnsiTheme="majorHAnsi" w:cs="Helvetica"/>
          <w:b/>
          <w:bCs/>
          <w:sz w:val="28"/>
          <w:szCs w:val="28"/>
          <w:lang w:val="fr-FR"/>
        </w:rPr>
      </w:pPr>
      <w:r>
        <w:rPr>
          <w:rFonts w:asciiTheme="majorHAnsi" w:hAnsiTheme="majorHAnsi"/>
          <w:sz w:val="28"/>
          <w:szCs w:val="28"/>
          <w:lang w:val="fr"/>
        </w:rPr>
        <w:t xml:space="preserve">L'indice aide les destinations, les fournisseurs de services de voyage et aux investisseurs de suivre la santé et la croissance de ce segment de Voyage en analyse comparative de leurs progrès individuels à tendre la main à ce marché en pleine croissance. </w:t>
      </w:r>
    </w:p>
    <w:p w:rsidR="00D31631" w:rsidRPr="002C06AA" w:rsidRDefault="00D31631" w:rsidP="00D31631">
      <w:pPr>
        <w:shd w:val="clear" w:color="auto" w:fill="FFFFFF"/>
        <w:spacing w:after="240" w:line="240" w:lineRule="auto"/>
        <w:rPr>
          <w:rFonts w:asciiTheme="majorHAnsi" w:hAnsiTheme="majorHAnsi"/>
          <w:sz w:val="28"/>
          <w:szCs w:val="28"/>
          <w:lang w:val="fr-FR"/>
        </w:rPr>
      </w:pPr>
      <w:r>
        <w:rPr>
          <w:rFonts w:asciiTheme="majorHAnsi" w:hAnsiTheme="majorHAnsi"/>
          <w:sz w:val="28"/>
          <w:szCs w:val="28"/>
          <w:lang w:val="fr"/>
        </w:rPr>
        <w:t xml:space="preserve">Tous les 130 destinations dans le GMTI ont été marqués dans un contexte de critères incluant la pertinence en tant que destination de vacances en famille, le niveau des services qu'il fournit options d'hébergement, des initiatives de marketing ainsi que des arrivées de visiteurs. </w:t>
      </w:r>
    </w:p>
    <w:p w:rsidR="00D31631" w:rsidRPr="002C06AA" w:rsidRDefault="00D31631" w:rsidP="00D31631">
      <w:pPr>
        <w:shd w:val="clear" w:color="auto" w:fill="FFFFFF"/>
        <w:spacing w:after="240" w:line="240" w:lineRule="auto"/>
        <w:rPr>
          <w:rFonts w:asciiTheme="majorHAnsi" w:hAnsiTheme="majorHAnsi"/>
          <w:sz w:val="28"/>
          <w:szCs w:val="28"/>
          <w:lang w:val="fr-FR"/>
        </w:rPr>
      </w:pPr>
      <w:r>
        <w:rPr>
          <w:rFonts w:asciiTheme="majorHAnsi" w:hAnsiTheme="majorHAnsi"/>
          <w:sz w:val="28"/>
          <w:szCs w:val="28"/>
          <w:lang w:val="fr"/>
        </w:rPr>
        <w:t xml:space="preserve">Chaque critère a ensuite été pondérés pour compenser l'indice global.  Cette année, deux nouveaux critères - connectivité de l'air et les restrictions de visa - ont été ajoutés pour améliorer encore l'indice.  </w:t>
      </w:r>
    </w:p>
    <w:p w:rsidR="00906ABA" w:rsidRPr="002C06AA" w:rsidRDefault="00043C15" w:rsidP="00731378">
      <w:pPr>
        <w:shd w:val="clear" w:color="auto" w:fill="FFFFFF"/>
        <w:spacing w:after="240" w:line="240" w:lineRule="auto"/>
        <w:rPr>
          <w:rFonts w:asciiTheme="majorHAnsi" w:hAnsiTheme="majorHAnsi"/>
          <w:sz w:val="28"/>
          <w:szCs w:val="28"/>
          <w:lang w:val="fr-FR"/>
        </w:rPr>
      </w:pPr>
      <w:r>
        <w:rPr>
          <w:rFonts w:asciiTheme="majorHAnsi" w:hAnsiTheme="majorHAnsi"/>
          <w:sz w:val="28"/>
          <w:szCs w:val="28"/>
          <w:lang w:val="fr"/>
        </w:rPr>
        <w:t xml:space="preserve">La France avait un score d'indice de 51,6 </w:t>
      </w:r>
      <w:r w:rsidR="002C06AA">
        <w:rPr>
          <w:rFonts w:asciiTheme="majorHAnsi" w:hAnsiTheme="majorHAnsi"/>
          <w:sz w:val="28"/>
          <w:szCs w:val="28"/>
          <w:lang w:val="fr"/>
        </w:rPr>
        <w:t>placent</w:t>
      </w:r>
      <w:r>
        <w:rPr>
          <w:rFonts w:asciiTheme="majorHAnsi" w:hAnsiTheme="majorHAnsi"/>
          <w:sz w:val="28"/>
          <w:szCs w:val="28"/>
          <w:lang w:val="fr"/>
        </w:rPr>
        <w:t xml:space="preserve"> il 32ème dans le classement combiné global. Singapour a marqué 68,4 avec la Thaïlande marquant 59,5. La Malaisie avait un score de l'indice de 81,9, ce qui il </w:t>
      </w:r>
      <w:r w:rsidR="002C06AA">
        <w:rPr>
          <w:rFonts w:asciiTheme="majorHAnsi" w:hAnsiTheme="majorHAnsi"/>
          <w:sz w:val="28"/>
          <w:szCs w:val="28"/>
          <w:lang w:val="fr"/>
        </w:rPr>
        <w:t>placé</w:t>
      </w:r>
      <w:r>
        <w:rPr>
          <w:rFonts w:asciiTheme="majorHAnsi" w:hAnsiTheme="majorHAnsi"/>
          <w:sz w:val="28"/>
          <w:szCs w:val="28"/>
          <w:lang w:val="fr"/>
        </w:rPr>
        <w:t xml:space="preserve"> à la première position dans le classement combiné global. </w:t>
      </w:r>
    </w:p>
    <w:p w:rsidR="00D31631" w:rsidRPr="002C06AA" w:rsidRDefault="00D31631" w:rsidP="00D31631">
      <w:pPr>
        <w:shd w:val="clear" w:color="auto" w:fill="FFFFFF"/>
        <w:spacing w:after="240" w:line="240" w:lineRule="auto"/>
        <w:rPr>
          <w:rFonts w:asciiTheme="majorHAnsi" w:hAnsiTheme="majorHAnsi"/>
          <w:sz w:val="28"/>
          <w:szCs w:val="28"/>
          <w:lang w:val="fr-FR"/>
        </w:rPr>
      </w:pPr>
      <w:r>
        <w:rPr>
          <w:rFonts w:asciiTheme="majorHAnsi" w:hAnsiTheme="majorHAnsi"/>
          <w:sz w:val="28"/>
          <w:szCs w:val="28"/>
          <w:lang w:val="fr"/>
        </w:rPr>
        <w:t>Le score GMTI moyenne globale pour les complets 130 destinations se situe actuellement à 43,7.  Dans une perspective régionale, des destinations Asie-Pacifique mènent avec un score moyen de 56,5 GMTI.</w:t>
      </w:r>
    </w:p>
    <w:p w:rsidR="00731378" w:rsidRPr="002C06AA" w:rsidRDefault="002C06AA" w:rsidP="00731378">
      <w:pPr>
        <w:spacing w:after="0" w:line="240" w:lineRule="auto"/>
        <w:rPr>
          <w:b/>
          <w:bCs/>
          <w:sz w:val="24"/>
          <w:szCs w:val="24"/>
          <w:lang w:val="fr-FR"/>
        </w:rPr>
      </w:pPr>
      <w:r>
        <w:rPr>
          <w:b/>
          <w:bCs/>
          <w:sz w:val="24"/>
          <w:szCs w:val="24"/>
          <w:lang w:val="fr"/>
        </w:rPr>
        <w:t>Les 10 premières destinations</w:t>
      </w:r>
      <w:r w:rsidR="00731378">
        <w:rPr>
          <w:b/>
          <w:bCs/>
          <w:sz w:val="24"/>
          <w:szCs w:val="24"/>
          <w:lang w:val="fr"/>
        </w:rPr>
        <w:t xml:space="preserve"> de non-OCI pays dans le GMTI 2016</w:t>
      </w:r>
    </w:p>
    <w:p w:rsidR="00731378" w:rsidRPr="002C06AA" w:rsidRDefault="00731378" w:rsidP="00731378">
      <w:pPr>
        <w:spacing w:after="0" w:line="240" w:lineRule="auto"/>
        <w:rPr>
          <w:lang w:val="fr-FR"/>
        </w:rPr>
      </w:pPr>
    </w:p>
    <w:tbl>
      <w:tblPr>
        <w:tblStyle w:val="TableGrid"/>
        <w:tblW w:w="0" w:type="auto"/>
        <w:tblLook w:val="04A0" w:firstRow="1" w:lastRow="0" w:firstColumn="1" w:lastColumn="0" w:noHBand="0" w:noVBand="1"/>
      </w:tblPr>
      <w:tblGrid>
        <w:gridCol w:w="2254"/>
        <w:gridCol w:w="2254"/>
        <w:gridCol w:w="2254"/>
        <w:gridCol w:w="2254"/>
      </w:tblGrid>
      <w:tr w:rsidR="00731378" w:rsidRPr="00553D46" w:rsidTr="00731378">
        <w:tc>
          <w:tcPr>
            <w:tcW w:w="2254" w:type="dxa"/>
            <w:shd w:val="clear" w:color="auto" w:fill="244061" w:themeFill="accent1" w:themeFillShade="80"/>
          </w:tcPr>
          <w:p w:rsidR="00731378" w:rsidRPr="00553D46" w:rsidRDefault="00731378" w:rsidP="00731378">
            <w:pPr>
              <w:jc w:val="center"/>
              <w:rPr>
                <w:b/>
                <w:color w:val="FFFFFF" w:themeColor="background1"/>
              </w:rPr>
            </w:pPr>
            <w:r>
              <w:rPr>
                <w:b/>
                <w:bCs/>
                <w:color w:val="FFFFFF" w:themeColor="background1"/>
                <w:lang w:val="fr"/>
              </w:rPr>
              <w:t>RANG</w:t>
            </w:r>
          </w:p>
        </w:tc>
        <w:tc>
          <w:tcPr>
            <w:tcW w:w="2254" w:type="dxa"/>
            <w:shd w:val="clear" w:color="auto" w:fill="244061" w:themeFill="accent1" w:themeFillShade="80"/>
          </w:tcPr>
          <w:p w:rsidR="00731378" w:rsidRPr="00553D46" w:rsidRDefault="00731378" w:rsidP="00731378">
            <w:pPr>
              <w:jc w:val="center"/>
              <w:rPr>
                <w:b/>
                <w:color w:val="FFFFFF" w:themeColor="background1"/>
              </w:rPr>
            </w:pPr>
            <w:r>
              <w:rPr>
                <w:b/>
                <w:bCs/>
                <w:color w:val="FFFFFF" w:themeColor="background1"/>
                <w:lang w:val="fr"/>
              </w:rPr>
              <w:t>RANG DE GMTI 2016</w:t>
            </w:r>
          </w:p>
        </w:tc>
        <w:tc>
          <w:tcPr>
            <w:tcW w:w="2254" w:type="dxa"/>
            <w:shd w:val="clear" w:color="auto" w:fill="244061" w:themeFill="accent1" w:themeFillShade="80"/>
          </w:tcPr>
          <w:p w:rsidR="00731378" w:rsidRPr="00553D46" w:rsidRDefault="00731378" w:rsidP="00731378">
            <w:pPr>
              <w:jc w:val="center"/>
              <w:rPr>
                <w:b/>
                <w:color w:val="FFFFFF" w:themeColor="background1"/>
              </w:rPr>
            </w:pPr>
            <w:r>
              <w:rPr>
                <w:b/>
                <w:bCs/>
                <w:color w:val="FFFFFF" w:themeColor="background1"/>
                <w:lang w:val="fr"/>
              </w:rPr>
              <w:t>DESTINATION</w:t>
            </w:r>
          </w:p>
        </w:tc>
        <w:tc>
          <w:tcPr>
            <w:tcW w:w="2254" w:type="dxa"/>
            <w:shd w:val="clear" w:color="auto" w:fill="244061" w:themeFill="accent1" w:themeFillShade="80"/>
          </w:tcPr>
          <w:p w:rsidR="00731378" w:rsidRPr="00553D46" w:rsidRDefault="00731378" w:rsidP="00731378">
            <w:pPr>
              <w:jc w:val="center"/>
              <w:rPr>
                <w:b/>
                <w:color w:val="FFFFFF" w:themeColor="background1"/>
              </w:rPr>
            </w:pPr>
            <w:r>
              <w:rPr>
                <w:b/>
                <w:bCs/>
                <w:color w:val="FFFFFF" w:themeColor="background1"/>
                <w:lang w:val="fr"/>
              </w:rPr>
              <w:t>SCORE</w:t>
            </w:r>
          </w:p>
        </w:tc>
      </w:tr>
      <w:tr w:rsidR="00731378" w:rsidRPr="00553D46" w:rsidTr="00731378">
        <w:tc>
          <w:tcPr>
            <w:tcW w:w="2254" w:type="dxa"/>
          </w:tcPr>
          <w:p w:rsidR="00731378" w:rsidRPr="00553D46" w:rsidRDefault="00731378" w:rsidP="00731378">
            <w:pPr>
              <w:jc w:val="center"/>
              <w:rPr>
                <w:b/>
              </w:rPr>
            </w:pPr>
            <w:r>
              <w:rPr>
                <w:b/>
                <w:bCs/>
                <w:lang w:val="fr"/>
              </w:rPr>
              <w:t>1</w:t>
            </w:r>
          </w:p>
        </w:tc>
        <w:tc>
          <w:tcPr>
            <w:tcW w:w="2254" w:type="dxa"/>
            <w:vAlign w:val="bottom"/>
          </w:tcPr>
          <w:p w:rsidR="00731378" w:rsidRPr="00553D46" w:rsidRDefault="00731378" w:rsidP="00731378">
            <w:pPr>
              <w:jc w:val="center"/>
              <w:rPr>
                <w:b/>
              </w:rPr>
            </w:pPr>
            <w:r>
              <w:rPr>
                <w:b/>
                <w:bCs/>
                <w:lang w:val="fr"/>
              </w:rPr>
              <w:t>8</w:t>
            </w:r>
          </w:p>
        </w:tc>
        <w:tc>
          <w:tcPr>
            <w:tcW w:w="2254" w:type="dxa"/>
            <w:vAlign w:val="bottom"/>
          </w:tcPr>
          <w:p w:rsidR="00731378" w:rsidRPr="00553D46" w:rsidRDefault="00731378" w:rsidP="00731378">
            <w:pPr>
              <w:jc w:val="center"/>
              <w:rPr>
                <w:b/>
              </w:rPr>
            </w:pPr>
            <w:r>
              <w:rPr>
                <w:b/>
                <w:bCs/>
                <w:lang w:val="fr"/>
              </w:rPr>
              <w:t>Singapour</w:t>
            </w:r>
          </w:p>
        </w:tc>
        <w:tc>
          <w:tcPr>
            <w:tcW w:w="2254" w:type="dxa"/>
            <w:vAlign w:val="bottom"/>
          </w:tcPr>
          <w:p w:rsidR="00731378" w:rsidRPr="00553D46" w:rsidRDefault="00731378" w:rsidP="00731378">
            <w:pPr>
              <w:jc w:val="center"/>
              <w:rPr>
                <w:b/>
              </w:rPr>
            </w:pPr>
            <w:r>
              <w:rPr>
                <w:b/>
                <w:bCs/>
                <w:lang w:val="fr"/>
              </w:rPr>
              <w:t>68.4</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rPr>
            </w:pPr>
            <w:r>
              <w:rPr>
                <w:b/>
                <w:bCs/>
                <w:lang w:val="fr"/>
              </w:rPr>
              <w:t>2</w:t>
            </w:r>
          </w:p>
        </w:tc>
        <w:tc>
          <w:tcPr>
            <w:tcW w:w="2254" w:type="dxa"/>
            <w:shd w:val="clear" w:color="auto" w:fill="DBE5F1" w:themeFill="accent1" w:themeFillTint="33"/>
            <w:vAlign w:val="bottom"/>
          </w:tcPr>
          <w:p w:rsidR="00731378" w:rsidRPr="00553D46" w:rsidRDefault="00731378" w:rsidP="00731378">
            <w:pPr>
              <w:jc w:val="center"/>
              <w:rPr>
                <w:b/>
              </w:rPr>
            </w:pPr>
            <w:r>
              <w:rPr>
                <w:b/>
                <w:bCs/>
                <w:lang w:val="fr"/>
              </w:rPr>
              <w:t>20</w:t>
            </w:r>
          </w:p>
        </w:tc>
        <w:tc>
          <w:tcPr>
            <w:tcW w:w="2254" w:type="dxa"/>
            <w:shd w:val="clear" w:color="auto" w:fill="DBE5F1" w:themeFill="accent1" w:themeFillTint="33"/>
            <w:vAlign w:val="bottom"/>
          </w:tcPr>
          <w:p w:rsidR="00731378" w:rsidRPr="00553D46" w:rsidRDefault="00731378" w:rsidP="00731378">
            <w:pPr>
              <w:jc w:val="center"/>
              <w:rPr>
                <w:b/>
              </w:rPr>
            </w:pPr>
            <w:r>
              <w:rPr>
                <w:b/>
                <w:bCs/>
                <w:lang w:val="fr"/>
              </w:rPr>
              <w:t>Thaïlande</w:t>
            </w:r>
          </w:p>
        </w:tc>
        <w:tc>
          <w:tcPr>
            <w:tcW w:w="2254" w:type="dxa"/>
            <w:shd w:val="clear" w:color="auto" w:fill="DBE5F1" w:themeFill="accent1" w:themeFillTint="33"/>
            <w:vAlign w:val="bottom"/>
          </w:tcPr>
          <w:p w:rsidR="00731378" w:rsidRPr="00553D46" w:rsidRDefault="00731378" w:rsidP="00731378">
            <w:pPr>
              <w:jc w:val="center"/>
              <w:rPr>
                <w:b/>
              </w:rPr>
            </w:pPr>
            <w:r>
              <w:rPr>
                <w:b/>
                <w:bCs/>
                <w:lang w:val="fr"/>
              </w:rPr>
              <w:t>59.5</w:t>
            </w:r>
          </w:p>
        </w:tc>
      </w:tr>
      <w:tr w:rsidR="00731378" w:rsidRPr="00553D46" w:rsidTr="00731378">
        <w:tc>
          <w:tcPr>
            <w:tcW w:w="2254" w:type="dxa"/>
          </w:tcPr>
          <w:p w:rsidR="00731378" w:rsidRPr="00553D46" w:rsidRDefault="00731378" w:rsidP="00731378">
            <w:pPr>
              <w:jc w:val="center"/>
              <w:rPr>
                <w:b/>
              </w:rPr>
            </w:pPr>
            <w:r>
              <w:rPr>
                <w:b/>
                <w:bCs/>
                <w:lang w:val="fr"/>
              </w:rPr>
              <w:t>3</w:t>
            </w:r>
          </w:p>
        </w:tc>
        <w:tc>
          <w:tcPr>
            <w:tcW w:w="2254" w:type="dxa"/>
            <w:vAlign w:val="bottom"/>
          </w:tcPr>
          <w:p w:rsidR="00731378" w:rsidRPr="00553D46" w:rsidRDefault="00731378" w:rsidP="00731378">
            <w:pPr>
              <w:jc w:val="center"/>
              <w:rPr>
                <w:b/>
              </w:rPr>
            </w:pPr>
            <w:r>
              <w:rPr>
                <w:b/>
                <w:bCs/>
                <w:lang w:val="fr"/>
              </w:rPr>
              <w:t>21</w:t>
            </w:r>
          </w:p>
        </w:tc>
        <w:tc>
          <w:tcPr>
            <w:tcW w:w="2254" w:type="dxa"/>
            <w:vAlign w:val="bottom"/>
          </w:tcPr>
          <w:p w:rsidR="00731378" w:rsidRPr="00553D46" w:rsidRDefault="00731378" w:rsidP="00731378">
            <w:pPr>
              <w:jc w:val="center"/>
              <w:rPr>
                <w:b/>
              </w:rPr>
            </w:pPr>
            <w:r>
              <w:rPr>
                <w:b/>
                <w:bCs/>
                <w:lang w:val="fr"/>
              </w:rPr>
              <w:t>Royaume-Uni</w:t>
            </w:r>
          </w:p>
        </w:tc>
        <w:tc>
          <w:tcPr>
            <w:tcW w:w="2254" w:type="dxa"/>
            <w:vAlign w:val="bottom"/>
          </w:tcPr>
          <w:p w:rsidR="00731378" w:rsidRPr="00553D46" w:rsidRDefault="00731378" w:rsidP="00731378">
            <w:pPr>
              <w:jc w:val="center"/>
              <w:rPr>
                <w:b/>
              </w:rPr>
            </w:pPr>
            <w:r>
              <w:rPr>
                <w:b/>
                <w:bCs/>
                <w:lang w:val="fr"/>
              </w:rPr>
              <w:t>59.0</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rPr>
            </w:pPr>
            <w:r>
              <w:rPr>
                <w:b/>
                <w:bCs/>
                <w:lang w:val="fr"/>
              </w:rPr>
              <w:t>4</w:t>
            </w:r>
          </w:p>
        </w:tc>
        <w:tc>
          <w:tcPr>
            <w:tcW w:w="2254" w:type="dxa"/>
            <w:shd w:val="clear" w:color="auto" w:fill="DBE5F1" w:themeFill="accent1" w:themeFillTint="33"/>
            <w:vAlign w:val="bottom"/>
          </w:tcPr>
          <w:p w:rsidR="00731378" w:rsidRPr="00553D46" w:rsidRDefault="00731378" w:rsidP="00731378">
            <w:pPr>
              <w:jc w:val="center"/>
              <w:rPr>
                <w:b/>
              </w:rPr>
            </w:pPr>
            <w:r>
              <w:rPr>
                <w:b/>
                <w:bCs/>
                <w:lang w:val="fr"/>
              </w:rPr>
              <w:t>30</w:t>
            </w:r>
          </w:p>
        </w:tc>
        <w:tc>
          <w:tcPr>
            <w:tcW w:w="2254" w:type="dxa"/>
            <w:shd w:val="clear" w:color="auto" w:fill="DBE5F1" w:themeFill="accent1" w:themeFillTint="33"/>
            <w:vAlign w:val="bottom"/>
          </w:tcPr>
          <w:p w:rsidR="00731378" w:rsidRPr="00553D46" w:rsidRDefault="00731378" w:rsidP="00731378">
            <w:pPr>
              <w:jc w:val="center"/>
              <w:rPr>
                <w:b/>
              </w:rPr>
            </w:pPr>
            <w:r>
              <w:rPr>
                <w:b/>
                <w:bCs/>
                <w:lang w:val="fr"/>
              </w:rPr>
              <w:t>Afrique du Sud</w:t>
            </w:r>
          </w:p>
        </w:tc>
        <w:tc>
          <w:tcPr>
            <w:tcW w:w="2254" w:type="dxa"/>
            <w:shd w:val="clear" w:color="auto" w:fill="DBE5F1" w:themeFill="accent1" w:themeFillTint="33"/>
            <w:vAlign w:val="bottom"/>
          </w:tcPr>
          <w:p w:rsidR="00731378" w:rsidRPr="00553D46" w:rsidRDefault="00731378" w:rsidP="00731378">
            <w:pPr>
              <w:jc w:val="center"/>
              <w:rPr>
                <w:b/>
              </w:rPr>
            </w:pPr>
            <w:r>
              <w:rPr>
                <w:b/>
                <w:bCs/>
                <w:lang w:val="fr"/>
              </w:rPr>
              <w:t>53.1</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rPr>
            </w:pPr>
            <w:r>
              <w:rPr>
                <w:b/>
                <w:bCs/>
                <w:lang w:val="fr"/>
              </w:rPr>
              <w:t>5</w:t>
            </w:r>
          </w:p>
        </w:tc>
        <w:tc>
          <w:tcPr>
            <w:tcW w:w="2254" w:type="dxa"/>
            <w:shd w:val="clear" w:color="auto" w:fill="DBE5F1" w:themeFill="accent1" w:themeFillTint="33"/>
            <w:vAlign w:val="bottom"/>
          </w:tcPr>
          <w:p w:rsidR="00731378" w:rsidRPr="00553D46" w:rsidRDefault="00731378" w:rsidP="00731378">
            <w:pPr>
              <w:jc w:val="center"/>
              <w:rPr>
                <w:b/>
              </w:rPr>
            </w:pPr>
            <w:r>
              <w:rPr>
                <w:b/>
                <w:bCs/>
                <w:lang w:val="fr"/>
              </w:rPr>
              <w:t>31</w:t>
            </w:r>
          </w:p>
        </w:tc>
        <w:tc>
          <w:tcPr>
            <w:tcW w:w="2254" w:type="dxa"/>
            <w:shd w:val="clear" w:color="auto" w:fill="DBE5F1" w:themeFill="accent1" w:themeFillTint="33"/>
            <w:vAlign w:val="bottom"/>
          </w:tcPr>
          <w:p w:rsidR="00731378" w:rsidRPr="00553D46" w:rsidRDefault="00731378" w:rsidP="00731378">
            <w:pPr>
              <w:jc w:val="center"/>
              <w:rPr>
                <w:b/>
              </w:rPr>
            </w:pPr>
            <w:r>
              <w:rPr>
                <w:b/>
                <w:bCs/>
                <w:lang w:val="fr"/>
              </w:rPr>
              <w:t>Hong Kong</w:t>
            </w:r>
          </w:p>
        </w:tc>
        <w:tc>
          <w:tcPr>
            <w:tcW w:w="2254" w:type="dxa"/>
            <w:shd w:val="clear" w:color="auto" w:fill="DBE5F1" w:themeFill="accent1" w:themeFillTint="33"/>
            <w:vAlign w:val="bottom"/>
          </w:tcPr>
          <w:p w:rsidR="00731378" w:rsidRPr="00553D46" w:rsidRDefault="00731378" w:rsidP="00731378">
            <w:pPr>
              <w:jc w:val="center"/>
              <w:rPr>
                <w:b/>
              </w:rPr>
            </w:pPr>
            <w:r>
              <w:rPr>
                <w:b/>
                <w:bCs/>
                <w:lang w:val="fr"/>
              </w:rPr>
              <w:t>53.0</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rPr>
            </w:pPr>
            <w:r>
              <w:rPr>
                <w:b/>
                <w:bCs/>
                <w:lang w:val="fr"/>
              </w:rPr>
              <w:t>6</w:t>
            </w:r>
          </w:p>
        </w:tc>
        <w:tc>
          <w:tcPr>
            <w:tcW w:w="2254" w:type="dxa"/>
            <w:shd w:val="clear" w:color="auto" w:fill="DBE5F1" w:themeFill="accent1" w:themeFillTint="33"/>
            <w:vAlign w:val="bottom"/>
          </w:tcPr>
          <w:p w:rsidR="00731378" w:rsidRPr="00553D46" w:rsidRDefault="00731378" w:rsidP="00731378">
            <w:pPr>
              <w:jc w:val="center"/>
              <w:rPr>
                <w:b/>
              </w:rPr>
            </w:pPr>
            <w:r>
              <w:rPr>
                <w:b/>
                <w:bCs/>
                <w:lang w:val="fr"/>
              </w:rPr>
              <w:t>31</w:t>
            </w:r>
          </w:p>
        </w:tc>
        <w:tc>
          <w:tcPr>
            <w:tcW w:w="2254" w:type="dxa"/>
            <w:shd w:val="clear" w:color="auto" w:fill="DBE5F1" w:themeFill="accent1" w:themeFillTint="33"/>
            <w:vAlign w:val="bottom"/>
          </w:tcPr>
          <w:p w:rsidR="00731378" w:rsidRPr="00553D46" w:rsidRDefault="00731378" w:rsidP="00731378">
            <w:pPr>
              <w:jc w:val="center"/>
              <w:rPr>
                <w:b/>
              </w:rPr>
            </w:pPr>
            <w:r>
              <w:rPr>
                <w:b/>
                <w:bCs/>
                <w:lang w:val="fr"/>
              </w:rPr>
              <w:t>France</w:t>
            </w:r>
          </w:p>
        </w:tc>
        <w:tc>
          <w:tcPr>
            <w:tcW w:w="2254" w:type="dxa"/>
            <w:shd w:val="clear" w:color="auto" w:fill="DBE5F1" w:themeFill="accent1" w:themeFillTint="33"/>
            <w:vAlign w:val="bottom"/>
          </w:tcPr>
          <w:p w:rsidR="00731378" w:rsidRPr="00553D46" w:rsidRDefault="00731378" w:rsidP="00731378">
            <w:pPr>
              <w:jc w:val="center"/>
              <w:rPr>
                <w:b/>
              </w:rPr>
            </w:pPr>
            <w:r>
              <w:rPr>
                <w:b/>
                <w:bCs/>
                <w:lang w:val="fr"/>
              </w:rPr>
              <w:t>51.6</w:t>
            </w:r>
          </w:p>
        </w:tc>
      </w:tr>
      <w:tr w:rsidR="00731378" w:rsidRPr="00553D46" w:rsidTr="00731378">
        <w:tc>
          <w:tcPr>
            <w:tcW w:w="2254" w:type="dxa"/>
          </w:tcPr>
          <w:p w:rsidR="00731378" w:rsidRPr="00553D46" w:rsidRDefault="00731378" w:rsidP="00731378">
            <w:pPr>
              <w:jc w:val="center"/>
              <w:rPr>
                <w:b/>
              </w:rPr>
            </w:pPr>
            <w:r>
              <w:rPr>
                <w:b/>
                <w:bCs/>
                <w:lang w:val="fr"/>
              </w:rPr>
              <w:t>7</w:t>
            </w:r>
          </w:p>
        </w:tc>
        <w:tc>
          <w:tcPr>
            <w:tcW w:w="2254" w:type="dxa"/>
            <w:vAlign w:val="bottom"/>
          </w:tcPr>
          <w:p w:rsidR="00731378" w:rsidRPr="00553D46" w:rsidRDefault="00731378" w:rsidP="00731378">
            <w:pPr>
              <w:jc w:val="center"/>
              <w:rPr>
                <w:b/>
              </w:rPr>
            </w:pPr>
            <w:r>
              <w:rPr>
                <w:b/>
                <w:bCs/>
                <w:lang w:val="fr"/>
              </w:rPr>
              <w:t>33</w:t>
            </w:r>
          </w:p>
        </w:tc>
        <w:tc>
          <w:tcPr>
            <w:tcW w:w="2254" w:type="dxa"/>
            <w:vAlign w:val="bottom"/>
          </w:tcPr>
          <w:p w:rsidR="00731378" w:rsidRPr="00553D46" w:rsidRDefault="00731378" w:rsidP="00731378">
            <w:pPr>
              <w:jc w:val="center"/>
              <w:rPr>
                <w:b/>
              </w:rPr>
            </w:pPr>
            <w:r>
              <w:rPr>
                <w:b/>
                <w:bCs/>
                <w:lang w:val="fr"/>
              </w:rPr>
              <w:t>Taïwan</w:t>
            </w:r>
          </w:p>
        </w:tc>
        <w:tc>
          <w:tcPr>
            <w:tcW w:w="2254" w:type="dxa"/>
            <w:vAlign w:val="bottom"/>
          </w:tcPr>
          <w:p w:rsidR="00731378" w:rsidRPr="00553D46" w:rsidRDefault="00731378" w:rsidP="00731378">
            <w:pPr>
              <w:jc w:val="center"/>
              <w:rPr>
                <w:b/>
              </w:rPr>
            </w:pPr>
            <w:r>
              <w:rPr>
                <w:b/>
                <w:bCs/>
                <w:lang w:val="fr"/>
              </w:rPr>
              <w:t>50.1</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rPr>
            </w:pPr>
            <w:r>
              <w:rPr>
                <w:b/>
                <w:bCs/>
                <w:lang w:val="fr"/>
              </w:rPr>
              <w:t>8</w:t>
            </w:r>
          </w:p>
        </w:tc>
        <w:tc>
          <w:tcPr>
            <w:tcW w:w="2254" w:type="dxa"/>
            <w:shd w:val="clear" w:color="auto" w:fill="DBE5F1" w:themeFill="accent1" w:themeFillTint="33"/>
            <w:vAlign w:val="bottom"/>
          </w:tcPr>
          <w:p w:rsidR="00731378" w:rsidRPr="00553D46" w:rsidRDefault="00731378" w:rsidP="00731378">
            <w:pPr>
              <w:jc w:val="center"/>
              <w:rPr>
                <w:b/>
              </w:rPr>
            </w:pPr>
            <w:r>
              <w:rPr>
                <w:b/>
                <w:bCs/>
                <w:lang w:val="fr"/>
              </w:rPr>
              <w:t>34</w:t>
            </w:r>
          </w:p>
        </w:tc>
        <w:tc>
          <w:tcPr>
            <w:tcW w:w="2254" w:type="dxa"/>
            <w:shd w:val="clear" w:color="auto" w:fill="DBE5F1" w:themeFill="accent1" w:themeFillTint="33"/>
            <w:vAlign w:val="bottom"/>
          </w:tcPr>
          <w:p w:rsidR="00731378" w:rsidRPr="00553D46" w:rsidRDefault="00731378" w:rsidP="00731378">
            <w:pPr>
              <w:jc w:val="center"/>
              <w:rPr>
                <w:b/>
              </w:rPr>
            </w:pPr>
            <w:r>
              <w:rPr>
                <w:b/>
                <w:bCs/>
                <w:lang w:val="fr"/>
              </w:rPr>
              <w:t>Japon</w:t>
            </w:r>
          </w:p>
        </w:tc>
        <w:tc>
          <w:tcPr>
            <w:tcW w:w="2254" w:type="dxa"/>
            <w:shd w:val="clear" w:color="auto" w:fill="DBE5F1" w:themeFill="accent1" w:themeFillTint="33"/>
            <w:vAlign w:val="bottom"/>
          </w:tcPr>
          <w:p w:rsidR="00731378" w:rsidRPr="00553D46" w:rsidRDefault="00731378" w:rsidP="00731378">
            <w:pPr>
              <w:jc w:val="center"/>
              <w:rPr>
                <w:b/>
              </w:rPr>
            </w:pPr>
            <w:r>
              <w:rPr>
                <w:b/>
                <w:bCs/>
                <w:lang w:val="fr"/>
              </w:rPr>
              <w:t>49.1</w:t>
            </w:r>
          </w:p>
        </w:tc>
      </w:tr>
      <w:tr w:rsidR="00731378" w:rsidRPr="00553D46" w:rsidTr="00731378">
        <w:tc>
          <w:tcPr>
            <w:tcW w:w="2254" w:type="dxa"/>
          </w:tcPr>
          <w:p w:rsidR="00731378" w:rsidRPr="00553D46" w:rsidRDefault="00731378" w:rsidP="00731378">
            <w:pPr>
              <w:jc w:val="center"/>
              <w:rPr>
                <w:b/>
              </w:rPr>
            </w:pPr>
            <w:r>
              <w:rPr>
                <w:b/>
                <w:bCs/>
                <w:lang w:val="fr"/>
              </w:rPr>
              <w:t>9</w:t>
            </w:r>
          </w:p>
        </w:tc>
        <w:tc>
          <w:tcPr>
            <w:tcW w:w="2254" w:type="dxa"/>
            <w:vAlign w:val="bottom"/>
          </w:tcPr>
          <w:p w:rsidR="00731378" w:rsidRPr="00553D46" w:rsidRDefault="00731378" w:rsidP="00731378">
            <w:pPr>
              <w:jc w:val="center"/>
              <w:rPr>
                <w:b/>
              </w:rPr>
            </w:pPr>
            <w:r>
              <w:rPr>
                <w:b/>
                <w:bCs/>
                <w:lang w:val="fr"/>
              </w:rPr>
              <w:t>35</w:t>
            </w:r>
          </w:p>
        </w:tc>
        <w:tc>
          <w:tcPr>
            <w:tcW w:w="2254" w:type="dxa"/>
            <w:vAlign w:val="bottom"/>
          </w:tcPr>
          <w:p w:rsidR="00731378" w:rsidRPr="00553D46" w:rsidRDefault="00731378" w:rsidP="00731378">
            <w:pPr>
              <w:jc w:val="center"/>
              <w:rPr>
                <w:b/>
              </w:rPr>
            </w:pPr>
            <w:r>
              <w:rPr>
                <w:b/>
                <w:bCs/>
                <w:lang w:val="fr"/>
              </w:rPr>
              <w:t>Sri Lanka</w:t>
            </w:r>
          </w:p>
        </w:tc>
        <w:tc>
          <w:tcPr>
            <w:tcW w:w="2254" w:type="dxa"/>
            <w:vAlign w:val="bottom"/>
          </w:tcPr>
          <w:p w:rsidR="00731378" w:rsidRPr="00553D46" w:rsidRDefault="00731378" w:rsidP="00731378">
            <w:pPr>
              <w:jc w:val="center"/>
              <w:rPr>
                <w:b/>
              </w:rPr>
            </w:pPr>
            <w:r>
              <w:rPr>
                <w:b/>
                <w:bCs/>
                <w:lang w:val="fr"/>
              </w:rPr>
              <w:t>49.0</w:t>
            </w:r>
          </w:p>
        </w:tc>
      </w:tr>
      <w:tr w:rsidR="00731378" w:rsidRPr="00553D46" w:rsidTr="00731378">
        <w:tc>
          <w:tcPr>
            <w:tcW w:w="2254" w:type="dxa"/>
          </w:tcPr>
          <w:p w:rsidR="00731378" w:rsidRPr="00553D46" w:rsidRDefault="00731378" w:rsidP="00731378">
            <w:pPr>
              <w:jc w:val="center"/>
              <w:rPr>
                <w:b/>
              </w:rPr>
            </w:pPr>
            <w:r>
              <w:rPr>
                <w:b/>
                <w:bCs/>
                <w:lang w:val="fr"/>
              </w:rPr>
              <w:t>10</w:t>
            </w:r>
          </w:p>
        </w:tc>
        <w:tc>
          <w:tcPr>
            <w:tcW w:w="2254" w:type="dxa"/>
            <w:vAlign w:val="bottom"/>
          </w:tcPr>
          <w:p w:rsidR="00731378" w:rsidRPr="00553D46" w:rsidRDefault="00731378" w:rsidP="00731378">
            <w:pPr>
              <w:jc w:val="center"/>
              <w:rPr>
                <w:b/>
              </w:rPr>
            </w:pPr>
            <w:r>
              <w:rPr>
                <w:b/>
                <w:bCs/>
                <w:lang w:val="fr"/>
              </w:rPr>
              <w:t>36</w:t>
            </w:r>
          </w:p>
        </w:tc>
        <w:tc>
          <w:tcPr>
            <w:tcW w:w="2254" w:type="dxa"/>
            <w:vAlign w:val="bottom"/>
          </w:tcPr>
          <w:p w:rsidR="00731378" w:rsidRPr="00553D46" w:rsidRDefault="00731378" w:rsidP="00731378">
            <w:pPr>
              <w:jc w:val="center"/>
              <w:rPr>
                <w:b/>
              </w:rPr>
            </w:pPr>
            <w:r>
              <w:rPr>
                <w:b/>
                <w:bCs/>
                <w:lang w:val="fr"/>
              </w:rPr>
              <w:t>États Unis</w:t>
            </w:r>
          </w:p>
        </w:tc>
        <w:tc>
          <w:tcPr>
            <w:tcW w:w="2254" w:type="dxa"/>
            <w:vAlign w:val="bottom"/>
          </w:tcPr>
          <w:p w:rsidR="00731378" w:rsidRPr="00553D46" w:rsidRDefault="00731378" w:rsidP="00731378">
            <w:pPr>
              <w:jc w:val="center"/>
              <w:rPr>
                <w:b/>
              </w:rPr>
            </w:pPr>
            <w:r>
              <w:rPr>
                <w:b/>
                <w:bCs/>
                <w:lang w:val="fr"/>
              </w:rPr>
              <w:t>48.9</w:t>
            </w:r>
          </w:p>
        </w:tc>
      </w:tr>
    </w:tbl>
    <w:p w:rsidR="00855DBF" w:rsidRPr="002C06AA" w:rsidRDefault="00731378" w:rsidP="00855DBF">
      <w:pPr>
        <w:tabs>
          <w:tab w:val="left" w:pos="3570"/>
        </w:tabs>
        <w:spacing w:after="0" w:line="240" w:lineRule="auto"/>
        <w:rPr>
          <w:b/>
          <w:bCs/>
          <w:sz w:val="24"/>
          <w:szCs w:val="24"/>
          <w:lang w:val="fr-FR"/>
        </w:rPr>
      </w:pPr>
      <w:r>
        <w:rPr>
          <w:lang w:val="fr"/>
        </w:rPr>
        <w:br/>
      </w:r>
      <w:r w:rsidR="002C06AA">
        <w:rPr>
          <w:b/>
          <w:bCs/>
          <w:lang w:val="fr"/>
        </w:rPr>
        <w:t>Les 10 premières destinations</w:t>
      </w:r>
      <w:r>
        <w:rPr>
          <w:b/>
          <w:bCs/>
          <w:lang w:val="fr"/>
        </w:rPr>
        <w:t xml:space="preserve"> de l'OCI pays dans le GMTI 2016</w:t>
      </w:r>
    </w:p>
    <w:tbl>
      <w:tblPr>
        <w:tblStyle w:val="TableGrid"/>
        <w:tblW w:w="0" w:type="auto"/>
        <w:tblLook w:val="04A0" w:firstRow="1" w:lastRow="0" w:firstColumn="1" w:lastColumn="0" w:noHBand="0" w:noVBand="1"/>
      </w:tblPr>
      <w:tblGrid>
        <w:gridCol w:w="2254"/>
        <w:gridCol w:w="2254"/>
        <w:gridCol w:w="2254"/>
        <w:gridCol w:w="2254"/>
      </w:tblGrid>
      <w:tr w:rsidR="00855DBF" w:rsidRPr="00553D46" w:rsidTr="00611552">
        <w:tc>
          <w:tcPr>
            <w:tcW w:w="2254" w:type="dxa"/>
            <w:shd w:val="clear" w:color="auto" w:fill="244061" w:themeFill="accent1" w:themeFillShade="80"/>
          </w:tcPr>
          <w:p w:rsidR="00855DBF" w:rsidRPr="00553D46" w:rsidRDefault="00855DBF" w:rsidP="00611552">
            <w:pPr>
              <w:jc w:val="center"/>
              <w:rPr>
                <w:b/>
                <w:color w:val="FFFFFF" w:themeColor="background1"/>
              </w:rPr>
            </w:pPr>
            <w:r>
              <w:rPr>
                <w:b/>
                <w:bCs/>
                <w:color w:val="FFFFFF" w:themeColor="background1"/>
                <w:lang w:val="fr"/>
              </w:rPr>
              <w:t>RANG</w:t>
            </w:r>
          </w:p>
        </w:tc>
        <w:tc>
          <w:tcPr>
            <w:tcW w:w="2254" w:type="dxa"/>
            <w:shd w:val="clear" w:color="auto" w:fill="244061" w:themeFill="accent1" w:themeFillShade="80"/>
          </w:tcPr>
          <w:p w:rsidR="00855DBF" w:rsidRPr="00553D46" w:rsidRDefault="00855DBF" w:rsidP="00611552">
            <w:pPr>
              <w:jc w:val="center"/>
              <w:rPr>
                <w:b/>
                <w:color w:val="FFFFFF" w:themeColor="background1"/>
              </w:rPr>
            </w:pPr>
            <w:r>
              <w:rPr>
                <w:b/>
                <w:bCs/>
                <w:color w:val="FFFFFF" w:themeColor="background1"/>
                <w:lang w:val="fr"/>
              </w:rPr>
              <w:t>RANG DE GMTI 2016</w:t>
            </w:r>
          </w:p>
        </w:tc>
        <w:tc>
          <w:tcPr>
            <w:tcW w:w="2254" w:type="dxa"/>
            <w:shd w:val="clear" w:color="auto" w:fill="244061" w:themeFill="accent1" w:themeFillShade="80"/>
          </w:tcPr>
          <w:p w:rsidR="00855DBF" w:rsidRPr="00553D46" w:rsidRDefault="00855DBF" w:rsidP="00611552">
            <w:pPr>
              <w:jc w:val="center"/>
              <w:rPr>
                <w:b/>
                <w:color w:val="FFFFFF" w:themeColor="background1"/>
              </w:rPr>
            </w:pPr>
            <w:r>
              <w:rPr>
                <w:b/>
                <w:bCs/>
                <w:color w:val="FFFFFF" w:themeColor="background1"/>
                <w:lang w:val="fr"/>
              </w:rPr>
              <w:t>DESTINATION</w:t>
            </w:r>
          </w:p>
        </w:tc>
        <w:tc>
          <w:tcPr>
            <w:tcW w:w="2254" w:type="dxa"/>
            <w:shd w:val="clear" w:color="auto" w:fill="244061" w:themeFill="accent1" w:themeFillShade="80"/>
          </w:tcPr>
          <w:p w:rsidR="00855DBF" w:rsidRPr="00553D46" w:rsidRDefault="00855DBF" w:rsidP="00611552">
            <w:pPr>
              <w:jc w:val="center"/>
              <w:rPr>
                <w:b/>
                <w:color w:val="FFFFFF" w:themeColor="background1"/>
              </w:rPr>
            </w:pPr>
            <w:r>
              <w:rPr>
                <w:b/>
                <w:bCs/>
                <w:color w:val="FFFFFF" w:themeColor="background1"/>
                <w:lang w:val="fr"/>
              </w:rPr>
              <w:t>SCORE</w:t>
            </w:r>
          </w:p>
        </w:tc>
      </w:tr>
      <w:tr w:rsidR="00855DBF" w:rsidRPr="00553D46" w:rsidTr="00611552">
        <w:tc>
          <w:tcPr>
            <w:tcW w:w="2254" w:type="dxa"/>
          </w:tcPr>
          <w:p w:rsidR="00855DBF" w:rsidRPr="00553D46" w:rsidRDefault="00855DBF" w:rsidP="00611552">
            <w:pPr>
              <w:jc w:val="center"/>
              <w:rPr>
                <w:b/>
              </w:rPr>
            </w:pPr>
            <w:r>
              <w:rPr>
                <w:b/>
                <w:bCs/>
                <w:lang w:val="fr"/>
              </w:rPr>
              <w:t>1</w:t>
            </w:r>
          </w:p>
        </w:tc>
        <w:tc>
          <w:tcPr>
            <w:tcW w:w="2254" w:type="dxa"/>
          </w:tcPr>
          <w:p w:rsidR="00855DBF" w:rsidRPr="00553D46" w:rsidRDefault="00855DBF" w:rsidP="00611552">
            <w:pPr>
              <w:jc w:val="center"/>
              <w:rPr>
                <w:b/>
              </w:rPr>
            </w:pPr>
            <w:r>
              <w:rPr>
                <w:b/>
                <w:bCs/>
                <w:lang w:val="fr"/>
              </w:rPr>
              <w:t>1</w:t>
            </w:r>
          </w:p>
        </w:tc>
        <w:tc>
          <w:tcPr>
            <w:tcW w:w="2254" w:type="dxa"/>
            <w:vAlign w:val="bottom"/>
          </w:tcPr>
          <w:p w:rsidR="00855DBF" w:rsidRPr="00553D46" w:rsidRDefault="00855DBF" w:rsidP="00611552">
            <w:pPr>
              <w:jc w:val="center"/>
              <w:rPr>
                <w:b/>
              </w:rPr>
            </w:pPr>
            <w:r>
              <w:rPr>
                <w:b/>
                <w:bCs/>
                <w:lang w:val="fr"/>
              </w:rPr>
              <w:t>Malaisie</w:t>
            </w:r>
          </w:p>
        </w:tc>
        <w:tc>
          <w:tcPr>
            <w:tcW w:w="2254" w:type="dxa"/>
            <w:vAlign w:val="bottom"/>
          </w:tcPr>
          <w:p w:rsidR="00855DBF" w:rsidRPr="00553D46" w:rsidRDefault="00855DBF" w:rsidP="00611552">
            <w:pPr>
              <w:jc w:val="center"/>
              <w:rPr>
                <w:b/>
              </w:rPr>
            </w:pPr>
            <w:r>
              <w:rPr>
                <w:b/>
                <w:bCs/>
                <w:lang w:val="fr"/>
              </w:rPr>
              <w:t>81.9</w:t>
            </w:r>
          </w:p>
        </w:tc>
      </w:tr>
      <w:tr w:rsidR="00855DBF" w:rsidRPr="00553D46" w:rsidTr="00611552">
        <w:tc>
          <w:tcPr>
            <w:tcW w:w="2254" w:type="dxa"/>
            <w:shd w:val="clear" w:color="auto" w:fill="DBE5F1" w:themeFill="accent1" w:themeFillTint="33"/>
          </w:tcPr>
          <w:p w:rsidR="00855DBF" w:rsidRPr="00553D46" w:rsidRDefault="00855DBF" w:rsidP="00611552">
            <w:pPr>
              <w:jc w:val="center"/>
              <w:rPr>
                <w:b/>
              </w:rPr>
            </w:pPr>
            <w:r>
              <w:rPr>
                <w:b/>
                <w:bCs/>
                <w:lang w:val="fr"/>
              </w:rPr>
              <w:t>2</w:t>
            </w:r>
          </w:p>
        </w:tc>
        <w:tc>
          <w:tcPr>
            <w:tcW w:w="2254" w:type="dxa"/>
            <w:shd w:val="clear" w:color="auto" w:fill="DBE5F1" w:themeFill="accent1" w:themeFillTint="33"/>
          </w:tcPr>
          <w:p w:rsidR="00855DBF" w:rsidRPr="00553D46" w:rsidRDefault="00855DBF" w:rsidP="00611552">
            <w:pPr>
              <w:jc w:val="center"/>
              <w:rPr>
                <w:b/>
              </w:rPr>
            </w:pPr>
            <w:r>
              <w:rPr>
                <w:b/>
                <w:bCs/>
                <w:lang w:val="fr"/>
              </w:rPr>
              <w:t>2</w:t>
            </w:r>
          </w:p>
        </w:tc>
        <w:tc>
          <w:tcPr>
            <w:tcW w:w="2254" w:type="dxa"/>
            <w:shd w:val="clear" w:color="auto" w:fill="DBE5F1" w:themeFill="accent1" w:themeFillTint="33"/>
            <w:vAlign w:val="bottom"/>
          </w:tcPr>
          <w:p w:rsidR="00855DBF" w:rsidRPr="00553D46" w:rsidRDefault="00855DBF" w:rsidP="00611552">
            <w:pPr>
              <w:jc w:val="center"/>
              <w:rPr>
                <w:b/>
              </w:rPr>
            </w:pPr>
            <w:r>
              <w:rPr>
                <w:b/>
                <w:bCs/>
                <w:lang w:val="fr"/>
              </w:rPr>
              <w:t>Emirats Arabes Unis</w:t>
            </w:r>
          </w:p>
        </w:tc>
        <w:tc>
          <w:tcPr>
            <w:tcW w:w="2254" w:type="dxa"/>
            <w:shd w:val="clear" w:color="auto" w:fill="DBE5F1" w:themeFill="accent1" w:themeFillTint="33"/>
            <w:vAlign w:val="bottom"/>
          </w:tcPr>
          <w:p w:rsidR="00855DBF" w:rsidRPr="00553D46" w:rsidRDefault="00855DBF" w:rsidP="00611552">
            <w:pPr>
              <w:jc w:val="center"/>
              <w:rPr>
                <w:b/>
              </w:rPr>
            </w:pPr>
            <w:r>
              <w:rPr>
                <w:b/>
                <w:bCs/>
                <w:lang w:val="fr"/>
              </w:rPr>
              <w:t>74.7</w:t>
            </w:r>
          </w:p>
        </w:tc>
      </w:tr>
      <w:tr w:rsidR="00855DBF" w:rsidRPr="00553D46" w:rsidTr="00611552">
        <w:tc>
          <w:tcPr>
            <w:tcW w:w="2254" w:type="dxa"/>
          </w:tcPr>
          <w:p w:rsidR="00855DBF" w:rsidRPr="00553D46" w:rsidRDefault="00855DBF" w:rsidP="00611552">
            <w:pPr>
              <w:jc w:val="center"/>
              <w:rPr>
                <w:b/>
              </w:rPr>
            </w:pPr>
            <w:r>
              <w:rPr>
                <w:b/>
                <w:bCs/>
                <w:lang w:val="fr"/>
              </w:rPr>
              <w:t>3</w:t>
            </w:r>
          </w:p>
        </w:tc>
        <w:tc>
          <w:tcPr>
            <w:tcW w:w="2254" w:type="dxa"/>
          </w:tcPr>
          <w:p w:rsidR="00855DBF" w:rsidRPr="00553D46" w:rsidRDefault="00855DBF" w:rsidP="00611552">
            <w:pPr>
              <w:jc w:val="center"/>
              <w:rPr>
                <w:b/>
              </w:rPr>
            </w:pPr>
            <w:r>
              <w:rPr>
                <w:b/>
                <w:bCs/>
                <w:lang w:val="fr"/>
              </w:rPr>
              <w:t>3</w:t>
            </w:r>
          </w:p>
        </w:tc>
        <w:tc>
          <w:tcPr>
            <w:tcW w:w="2254" w:type="dxa"/>
            <w:vAlign w:val="bottom"/>
          </w:tcPr>
          <w:p w:rsidR="00855DBF" w:rsidRPr="00553D46" w:rsidRDefault="00855DBF" w:rsidP="00611552">
            <w:pPr>
              <w:jc w:val="center"/>
              <w:rPr>
                <w:b/>
              </w:rPr>
            </w:pPr>
            <w:r>
              <w:rPr>
                <w:b/>
                <w:bCs/>
                <w:lang w:val="fr"/>
              </w:rPr>
              <w:t>Turquie</w:t>
            </w:r>
          </w:p>
        </w:tc>
        <w:tc>
          <w:tcPr>
            <w:tcW w:w="2254" w:type="dxa"/>
            <w:vAlign w:val="bottom"/>
          </w:tcPr>
          <w:p w:rsidR="00855DBF" w:rsidRPr="00553D46" w:rsidRDefault="00855DBF" w:rsidP="00611552">
            <w:pPr>
              <w:jc w:val="center"/>
              <w:rPr>
                <w:b/>
              </w:rPr>
            </w:pPr>
            <w:r>
              <w:rPr>
                <w:b/>
                <w:bCs/>
                <w:lang w:val="fr"/>
              </w:rPr>
              <w:t>73.9</w:t>
            </w:r>
          </w:p>
        </w:tc>
      </w:tr>
      <w:tr w:rsidR="00855DBF" w:rsidRPr="00553D46" w:rsidTr="00611552">
        <w:tc>
          <w:tcPr>
            <w:tcW w:w="2254" w:type="dxa"/>
            <w:shd w:val="clear" w:color="auto" w:fill="DBE5F1" w:themeFill="accent1" w:themeFillTint="33"/>
          </w:tcPr>
          <w:p w:rsidR="00855DBF" w:rsidRPr="00553D46" w:rsidRDefault="00855DBF" w:rsidP="00611552">
            <w:pPr>
              <w:jc w:val="center"/>
              <w:rPr>
                <w:b/>
              </w:rPr>
            </w:pPr>
            <w:r>
              <w:rPr>
                <w:b/>
                <w:bCs/>
                <w:lang w:val="fr"/>
              </w:rPr>
              <w:t>4</w:t>
            </w:r>
          </w:p>
        </w:tc>
        <w:tc>
          <w:tcPr>
            <w:tcW w:w="2254" w:type="dxa"/>
            <w:shd w:val="clear" w:color="auto" w:fill="DBE5F1" w:themeFill="accent1" w:themeFillTint="33"/>
          </w:tcPr>
          <w:p w:rsidR="00855DBF" w:rsidRPr="00553D46" w:rsidRDefault="00855DBF" w:rsidP="00611552">
            <w:pPr>
              <w:jc w:val="center"/>
              <w:rPr>
                <w:b/>
              </w:rPr>
            </w:pPr>
            <w:r>
              <w:rPr>
                <w:b/>
                <w:bCs/>
                <w:lang w:val="fr"/>
              </w:rPr>
              <w:t>4</w:t>
            </w:r>
          </w:p>
        </w:tc>
        <w:tc>
          <w:tcPr>
            <w:tcW w:w="2254" w:type="dxa"/>
            <w:shd w:val="clear" w:color="auto" w:fill="DBE5F1" w:themeFill="accent1" w:themeFillTint="33"/>
            <w:vAlign w:val="bottom"/>
          </w:tcPr>
          <w:p w:rsidR="00855DBF" w:rsidRPr="00553D46" w:rsidRDefault="00855DBF" w:rsidP="00611552">
            <w:pPr>
              <w:jc w:val="center"/>
              <w:rPr>
                <w:b/>
              </w:rPr>
            </w:pPr>
            <w:r>
              <w:rPr>
                <w:b/>
                <w:bCs/>
                <w:lang w:val="fr"/>
              </w:rPr>
              <w:t>Indonésie</w:t>
            </w:r>
          </w:p>
        </w:tc>
        <w:tc>
          <w:tcPr>
            <w:tcW w:w="2254" w:type="dxa"/>
            <w:shd w:val="clear" w:color="auto" w:fill="DBE5F1" w:themeFill="accent1" w:themeFillTint="33"/>
            <w:vAlign w:val="bottom"/>
          </w:tcPr>
          <w:p w:rsidR="00855DBF" w:rsidRPr="00553D46" w:rsidRDefault="00855DBF" w:rsidP="00611552">
            <w:pPr>
              <w:jc w:val="center"/>
              <w:rPr>
                <w:b/>
              </w:rPr>
            </w:pPr>
            <w:r>
              <w:rPr>
                <w:b/>
                <w:bCs/>
                <w:lang w:val="fr"/>
              </w:rPr>
              <w:t>70.6</w:t>
            </w:r>
          </w:p>
        </w:tc>
      </w:tr>
      <w:tr w:rsidR="00855DBF" w:rsidRPr="00553D46" w:rsidTr="00611552">
        <w:tc>
          <w:tcPr>
            <w:tcW w:w="2254" w:type="dxa"/>
          </w:tcPr>
          <w:p w:rsidR="00855DBF" w:rsidRPr="00553D46" w:rsidRDefault="00855DBF" w:rsidP="00611552">
            <w:pPr>
              <w:jc w:val="center"/>
              <w:rPr>
                <w:b/>
              </w:rPr>
            </w:pPr>
            <w:r>
              <w:rPr>
                <w:b/>
                <w:bCs/>
                <w:lang w:val="fr"/>
              </w:rPr>
              <w:t>5</w:t>
            </w:r>
          </w:p>
        </w:tc>
        <w:tc>
          <w:tcPr>
            <w:tcW w:w="2254" w:type="dxa"/>
          </w:tcPr>
          <w:p w:rsidR="00855DBF" w:rsidRPr="00553D46" w:rsidRDefault="00855DBF" w:rsidP="00611552">
            <w:pPr>
              <w:jc w:val="center"/>
              <w:rPr>
                <w:b/>
              </w:rPr>
            </w:pPr>
            <w:r>
              <w:rPr>
                <w:b/>
                <w:bCs/>
                <w:lang w:val="fr"/>
              </w:rPr>
              <w:t>5</w:t>
            </w:r>
          </w:p>
        </w:tc>
        <w:tc>
          <w:tcPr>
            <w:tcW w:w="2254" w:type="dxa"/>
            <w:vAlign w:val="bottom"/>
          </w:tcPr>
          <w:p w:rsidR="00855DBF" w:rsidRPr="00553D46" w:rsidRDefault="00855DBF" w:rsidP="00611552">
            <w:pPr>
              <w:jc w:val="center"/>
              <w:rPr>
                <w:b/>
              </w:rPr>
            </w:pPr>
            <w:r>
              <w:rPr>
                <w:b/>
                <w:bCs/>
                <w:lang w:val="fr"/>
              </w:rPr>
              <w:t>Qatar</w:t>
            </w:r>
          </w:p>
        </w:tc>
        <w:tc>
          <w:tcPr>
            <w:tcW w:w="2254" w:type="dxa"/>
            <w:vAlign w:val="bottom"/>
          </w:tcPr>
          <w:p w:rsidR="00855DBF" w:rsidRPr="00553D46" w:rsidRDefault="00855DBF" w:rsidP="00611552">
            <w:pPr>
              <w:jc w:val="center"/>
              <w:rPr>
                <w:b/>
              </w:rPr>
            </w:pPr>
            <w:r>
              <w:rPr>
                <w:b/>
                <w:bCs/>
                <w:lang w:val="fr"/>
              </w:rPr>
              <w:t>70.5</w:t>
            </w:r>
          </w:p>
        </w:tc>
      </w:tr>
      <w:tr w:rsidR="00855DBF" w:rsidRPr="00553D46" w:rsidTr="00611552">
        <w:tc>
          <w:tcPr>
            <w:tcW w:w="2254" w:type="dxa"/>
            <w:shd w:val="clear" w:color="auto" w:fill="DBE5F1" w:themeFill="accent1" w:themeFillTint="33"/>
          </w:tcPr>
          <w:p w:rsidR="00855DBF" w:rsidRPr="00553D46" w:rsidRDefault="00855DBF" w:rsidP="00611552">
            <w:pPr>
              <w:jc w:val="center"/>
              <w:rPr>
                <w:b/>
              </w:rPr>
            </w:pPr>
            <w:r>
              <w:rPr>
                <w:b/>
                <w:bCs/>
                <w:lang w:val="fr"/>
              </w:rPr>
              <w:t>6</w:t>
            </w:r>
          </w:p>
        </w:tc>
        <w:tc>
          <w:tcPr>
            <w:tcW w:w="2254" w:type="dxa"/>
            <w:shd w:val="clear" w:color="auto" w:fill="DBE5F1" w:themeFill="accent1" w:themeFillTint="33"/>
          </w:tcPr>
          <w:p w:rsidR="00855DBF" w:rsidRPr="00553D46" w:rsidRDefault="00855DBF" w:rsidP="00611552">
            <w:pPr>
              <w:jc w:val="center"/>
              <w:rPr>
                <w:b/>
              </w:rPr>
            </w:pPr>
            <w:r>
              <w:rPr>
                <w:b/>
                <w:bCs/>
                <w:lang w:val="fr"/>
              </w:rPr>
              <w:t>6</w:t>
            </w:r>
          </w:p>
        </w:tc>
        <w:tc>
          <w:tcPr>
            <w:tcW w:w="2254" w:type="dxa"/>
            <w:shd w:val="clear" w:color="auto" w:fill="DBE5F1" w:themeFill="accent1" w:themeFillTint="33"/>
            <w:vAlign w:val="bottom"/>
          </w:tcPr>
          <w:p w:rsidR="00855DBF" w:rsidRPr="00553D46" w:rsidRDefault="00855DBF" w:rsidP="00611552">
            <w:pPr>
              <w:jc w:val="center"/>
              <w:rPr>
                <w:b/>
              </w:rPr>
            </w:pPr>
            <w:r>
              <w:rPr>
                <w:b/>
                <w:bCs/>
                <w:lang w:val="fr"/>
              </w:rPr>
              <w:t>Arabie Saoudite</w:t>
            </w:r>
          </w:p>
        </w:tc>
        <w:tc>
          <w:tcPr>
            <w:tcW w:w="2254" w:type="dxa"/>
            <w:shd w:val="clear" w:color="auto" w:fill="DBE5F1" w:themeFill="accent1" w:themeFillTint="33"/>
            <w:vAlign w:val="bottom"/>
          </w:tcPr>
          <w:p w:rsidR="00855DBF" w:rsidRPr="00553D46" w:rsidRDefault="00855DBF" w:rsidP="00611552">
            <w:pPr>
              <w:jc w:val="center"/>
              <w:rPr>
                <w:b/>
              </w:rPr>
            </w:pPr>
            <w:r>
              <w:rPr>
                <w:b/>
                <w:bCs/>
                <w:lang w:val="fr"/>
              </w:rPr>
              <w:t>70.4</w:t>
            </w:r>
          </w:p>
        </w:tc>
      </w:tr>
      <w:tr w:rsidR="00855DBF" w:rsidRPr="00553D46" w:rsidTr="00611552">
        <w:tc>
          <w:tcPr>
            <w:tcW w:w="2254" w:type="dxa"/>
          </w:tcPr>
          <w:p w:rsidR="00855DBF" w:rsidRPr="00553D46" w:rsidRDefault="00855DBF" w:rsidP="00611552">
            <w:pPr>
              <w:jc w:val="center"/>
              <w:rPr>
                <w:b/>
              </w:rPr>
            </w:pPr>
            <w:r>
              <w:rPr>
                <w:b/>
                <w:bCs/>
                <w:lang w:val="fr"/>
              </w:rPr>
              <w:t>7</w:t>
            </w:r>
          </w:p>
        </w:tc>
        <w:tc>
          <w:tcPr>
            <w:tcW w:w="2254" w:type="dxa"/>
          </w:tcPr>
          <w:p w:rsidR="00855DBF" w:rsidRPr="00553D46" w:rsidRDefault="00855DBF" w:rsidP="00611552">
            <w:pPr>
              <w:jc w:val="center"/>
              <w:rPr>
                <w:b/>
              </w:rPr>
            </w:pPr>
            <w:r>
              <w:rPr>
                <w:b/>
                <w:bCs/>
                <w:lang w:val="fr"/>
              </w:rPr>
              <w:t>7</w:t>
            </w:r>
          </w:p>
        </w:tc>
        <w:tc>
          <w:tcPr>
            <w:tcW w:w="2254" w:type="dxa"/>
            <w:vAlign w:val="bottom"/>
          </w:tcPr>
          <w:p w:rsidR="00855DBF" w:rsidRPr="00553D46" w:rsidRDefault="00855DBF" w:rsidP="00611552">
            <w:pPr>
              <w:jc w:val="center"/>
              <w:rPr>
                <w:b/>
              </w:rPr>
            </w:pPr>
            <w:r>
              <w:rPr>
                <w:b/>
                <w:bCs/>
                <w:lang w:val="fr"/>
              </w:rPr>
              <w:t>Oman</w:t>
            </w:r>
          </w:p>
        </w:tc>
        <w:tc>
          <w:tcPr>
            <w:tcW w:w="2254" w:type="dxa"/>
            <w:vAlign w:val="bottom"/>
          </w:tcPr>
          <w:p w:rsidR="00855DBF" w:rsidRPr="00553D46" w:rsidRDefault="00855DBF" w:rsidP="00611552">
            <w:pPr>
              <w:jc w:val="center"/>
              <w:rPr>
                <w:b/>
              </w:rPr>
            </w:pPr>
            <w:r>
              <w:rPr>
                <w:b/>
                <w:bCs/>
                <w:lang w:val="fr"/>
              </w:rPr>
              <w:t>70.3</w:t>
            </w:r>
          </w:p>
        </w:tc>
      </w:tr>
      <w:tr w:rsidR="00855DBF" w:rsidRPr="00553D46" w:rsidTr="00611552">
        <w:tc>
          <w:tcPr>
            <w:tcW w:w="2254" w:type="dxa"/>
          </w:tcPr>
          <w:p w:rsidR="00855DBF" w:rsidRPr="00553D46" w:rsidRDefault="00855DBF" w:rsidP="00611552">
            <w:pPr>
              <w:jc w:val="center"/>
              <w:rPr>
                <w:b/>
              </w:rPr>
            </w:pPr>
            <w:r>
              <w:rPr>
                <w:b/>
                <w:bCs/>
                <w:lang w:val="fr"/>
              </w:rPr>
              <w:t>8</w:t>
            </w:r>
          </w:p>
        </w:tc>
        <w:tc>
          <w:tcPr>
            <w:tcW w:w="2254" w:type="dxa"/>
          </w:tcPr>
          <w:p w:rsidR="00855DBF" w:rsidRPr="00553D46" w:rsidRDefault="00855DBF" w:rsidP="00611552">
            <w:pPr>
              <w:jc w:val="center"/>
              <w:rPr>
                <w:b/>
              </w:rPr>
            </w:pPr>
            <w:r>
              <w:rPr>
                <w:b/>
                <w:bCs/>
                <w:lang w:val="fr"/>
              </w:rPr>
              <w:t>9</w:t>
            </w:r>
          </w:p>
        </w:tc>
        <w:tc>
          <w:tcPr>
            <w:tcW w:w="2254" w:type="dxa"/>
            <w:vAlign w:val="bottom"/>
          </w:tcPr>
          <w:p w:rsidR="00855DBF" w:rsidRPr="00553D46" w:rsidRDefault="00855DBF" w:rsidP="00611552">
            <w:pPr>
              <w:jc w:val="center"/>
              <w:rPr>
                <w:b/>
              </w:rPr>
            </w:pPr>
            <w:r>
              <w:rPr>
                <w:b/>
                <w:bCs/>
                <w:lang w:val="fr"/>
              </w:rPr>
              <w:t>Maroc</w:t>
            </w:r>
          </w:p>
        </w:tc>
        <w:tc>
          <w:tcPr>
            <w:tcW w:w="2254" w:type="dxa"/>
            <w:vAlign w:val="bottom"/>
          </w:tcPr>
          <w:p w:rsidR="00855DBF" w:rsidRPr="00553D46" w:rsidRDefault="00855DBF" w:rsidP="00611552">
            <w:pPr>
              <w:jc w:val="center"/>
              <w:rPr>
                <w:b/>
              </w:rPr>
            </w:pPr>
            <w:r>
              <w:rPr>
                <w:b/>
                <w:bCs/>
                <w:lang w:val="fr"/>
              </w:rPr>
              <w:t>68.3</w:t>
            </w:r>
          </w:p>
        </w:tc>
      </w:tr>
      <w:tr w:rsidR="00855DBF" w:rsidRPr="00553D46" w:rsidTr="00611552">
        <w:tc>
          <w:tcPr>
            <w:tcW w:w="2254" w:type="dxa"/>
          </w:tcPr>
          <w:p w:rsidR="00855DBF" w:rsidRPr="00553D46" w:rsidRDefault="00855DBF" w:rsidP="00611552">
            <w:pPr>
              <w:jc w:val="center"/>
              <w:rPr>
                <w:b/>
              </w:rPr>
            </w:pPr>
            <w:r>
              <w:rPr>
                <w:b/>
                <w:bCs/>
                <w:lang w:val="fr"/>
              </w:rPr>
              <w:t>9</w:t>
            </w:r>
          </w:p>
        </w:tc>
        <w:tc>
          <w:tcPr>
            <w:tcW w:w="2254" w:type="dxa"/>
          </w:tcPr>
          <w:p w:rsidR="00855DBF" w:rsidRPr="00553D46" w:rsidRDefault="00855DBF" w:rsidP="00611552">
            <w:pPr>
              <w:jc w:val="center"/>
              <w:rPr>
                <w:b/>
              </w:rPr>
            </w:pPr>
            <w:r>
              <w:rPr>
                <w:b/>
                <w:bCs/>
                <w:lang w:val="fr"/>
              </w:rPr>
              <w:t>10</w:t>
            </w:r>
          </w:p>
        </w:tc>
        <w:tc>
          <w:tcPr>
            <w:tcW w:w="2254" w:type="dxa"/>
            <w:vAlign w:val="bottom"/>
          </w:tcPr>
          <w:p w:rsidR="00855DBF" w:rsidRPr="00553D46" w:rsidRDefault="00855DBF" w:rsidP="00611552">
            <w:pPr>
              <w:jc w:val="center"/>
              <w:rPr>
                <w:b/>
              </w:rPr>
            </w:pPr>
            <w:r>
              <w:rPr>
                <w:b/>
                <w:bCs/>
                <w:lang w:val="fr"/>
              </w:rPr>
              <w:t>Jordanie</w:t>
            </w:r>
          </w:p>
        </w:tc>
        <w:tc>
          <w:tcPr>
            <w:tcW w:w="2254" w:type="dxa"/>
            <w:vAlign w:val="bottom"/>
          </w:tcPr>
          <w:p w:rsidR="00855DBF" w:rsidRPr="00553D46" w:rsidRDefault="00855DBF" w:rsidP="00611552">
            <w:pPr>
              <w:jc w:val="center"/>
              <w:rPr>
                <w:b/>
              </w:rPr>
            </w:pPr>
            <w:r>
              <w:rPr>
                <w:b/>
                <w:bCs/>
                <w:lang w:val="fr"/>
              </w:rPr>
              <w:t>65.4</w:t>
            </w:r>
          </w:p>
        </w:tc>
      </w:tr>
      <w:tr w:rsidR="00855DBF" w:rsidRPr="00553D46" w:rsidTr="00611552">
        <w:tc>
          <w:tcPr>
            <w:tcW w:w="2254" w:type="dxa"/>
            <w:shd w:val="clear" w:color="auto" w:fill="DBE5F1" w:themeFill="accent1" w:themeFillTint="33"/>
          </w:tcPr>
          <w:p w:rsidR="00855DBF" w:rsidRPr="00553D46" w:rsidRDefault="00855DBF" w:rsidP="00611552">
            <w:pPr>
              <w:jc w:val="center"/>
              <w:rPr>
                <w:b/>
              </w:rPr>
            </w:pPr>
            <w:r>
              <w:rPr>
                <w:b/>
                <w:bCs/>
                <w:lang w:val="fr"/>
              </w:rPr>
              <w:t>10</w:t>
            </w:r>
          </w:p>
        </w:tc>
        <w:tc>
          <w:tcPr>
            <w:tcW w:w="2254" w:type="dxa"/>
            <w:shd w:val="clear" w:color="auto" w:fill="DBE5F1" w:themeFill="accent1" w:themeFillTint="33"/>
          </w:tcPr>
          <w:p w:rsidR="00855DBF" w:rsidRPr="00553D46" w:rsidRDefault="00855DBF" w:rsidP="00611552">
            <w:pPr>
              <w:jc w:val="center"/>
              <w:rPr>
                <w:b/>
              </w:rPr>
            </w:pPr>
            <w:r>
              <w:rPr>
                <w:b/>
                <w:bCs/>
                <w:lang w:val="fr"/>
              </w:rPr>
              <w:t>11</w:t>
            </w:r>
          </w:p>
        </w:tc>
        <w:tc>
          <w:tcPr>
            <w:tcW w:w="2254" w:type="dxa"/>
            <w:shd w:val="clear" w:color="auto" w:fill="DBE5F1" w:themeFill="accent1" w:themeFillTint="33"/>
            <w:vAlign w:val="bottom"/>
          </w:tcPr>
          <w:p w:rsidR="00855DBF" w:rsidRPr="00553D46" w:rsidRDefault="00855DBF" w:rsidP="00611552">
            <w:pPr>
              <w:jc w:val="center"/>
              <w:rPr>
                <w:b/>
              </w:rPr>
            </w:pPr>
            <w:r>
              <w:rPr>
                <w:b/>
                <w:bCs/>
                <w:lang w:val="fr"/>
              </w:rPr>
              <w:t>Bahreïn</w:t>
            </w:r>
          </w:p>
        </w:tc>
        <w:tc>
          <w:tcPr>
            <w:tcW w:w="2254" w:type="dxa"/>
            <w:shd w:val="clear" w:color="auto" w:fill="DBE5F1" w:themeFill="accent1" w:themeFillTint="33"/>
            <w:vAlign w:val="bottom"/>
          </w:tcPr>
          <w:p w:rsidR="00855DBF" w:rsidRPr="00553D46" w:rsidRDefault="00855DBF" w:rsidP="00611552">
            <w:pPr>
              <w:jc w:val="center"/>
              <w:rPr>
                <w:b/>
              </w:rPr>
            </w:pPr>
            <w:r>
              <w:rPr>
                <w:b/>
                <w:bCs/>
                <w:lang w:val="fr"/>
              </w:rPr>
              <w:t>63.3</w:t>
            </w:r>
          </w:p>
        </w:tc>
      </w:tr>
    </w:tbl>
    <w:p w:rsidR="00855DBF" w:rsidRPr="00553D46" w:rsidRDefault="00855DBF" w:rsidP="00855DBF">
      <w:pPr>
        <w:spacing w:after="0" w:line="240" w:lineRule="auto"/>
      </w:pPr>
    </w:p>
    <w:p w:rsidR="00D31631" w:rsidRPr="002C06AA" w:rsidRDefault="00731378" w:rsidP="00D31631">
      <w:pPr>
        <w:spacing w:after="0" w:line="240" w:lineRule="auto"/>
        <w:jc w:val="both"/>
        <w:rPr>
          <w:lang w:val="fr-FR"/>
        </w:rPr>
      </w:pPr>
      <w:r>
        <w:rPr>
          <w:rFonts w:asciiTheme="majorHAnsi" w:hAnsiTheme="majorHAnsi"/>
          <w:sz w:val="28"/>
          <w:szCs w:val="28"/>
          <w:lang w:val="fr"/>
        </w:rPr>
        <w:t>Le compte rendu complet est disponible ici &lt;insérer lien hypertexte&gt;.</w:t>
      </w:r>
    </w:p>
    <w:p w:rsidR="00D31631" w:rsidRPr="002C06AA" w:rsidRDefault="00D31631" w:rsidP="00D31631">
      <w:pPr>
        <w:spacing w:after="0" w:line="240" w:lineRule="auto"/>
        <w:jc w:val="both"/>
        <w:rPr>
          <w:lang w:val="fr-FR"/>
        </w:rPr>
      </w:pPr>
    </w:p>
    <w:p w:rsidR="00731378" w:rsidRPr="002C06AA" w:rsidRDefault="00D31631" w:rsidP="00D31631">
      <w:pPr>
        <w:jc w:val="center"/>
        <w:rPr>
          <w:rFonts w:asciiTheme="majorHAnsi" w:hAnsiTheme="majorHAnsi"/>
          <w:b/>
          <w:sz w:val="28"/>
          <w:szCs w:val="28"/>
          <w:lang w:val="fr-FR"/>
        </w:rPr>
      </w:pPr>
      <w:r>
        <w:rPr>
          <w:rFonts w:asciiTheme="majorHAnsi" w:hAnsiTheme="majorHAnsi"/>
          <w:b/>
          <w:bCs/>
          <w:sz w:val="28"/>
          <w:szCs w:val="28"/>
          <w:lang w:val="fr"/>
        </w:rPr>
        <w:t>FIN</w:t>
      </w:r>
    </w:p>
    <w:p w:rsidR="00D31631" w:rsidRPr="002C06AA" w:rsidRDefault="00731378" w:rsidP="00731378">
      <w:pPr>
        <w:rPr>
          <w:rFonts w:asciiTheme="majorHAnsi" w:hAnsiTheme="majorHAnsi"/>
          <w:b/>
          <w:sz w:val="28"/>
          <w:szCs w:val="28"/>
          <w:lang w:val="fr-FR"/>
        </w:rPr>
      </w:pPr>
      <w:r>
        <w:rPr>
          <w:rFonts w:asciiTheme="majorHAnsi" w:hAnsiTheme="majorHAnsi"/>
          <w:b/>
          <w:bCs/>
          <w:sz w:val="28"/>
          <w:szCs w:val="28"/>
          <w:lang w:val="fr"/>
        </w:rPr>
        <w:t xml:space="preserve">Pour d'autres demandes d'information et d'entrevue, s'il vous plaît </w:t>
      </w:r>
      <w:r w:rsidR="002C06AA">
        <w:rPr>
          <w:rFonts w:asciiTheme="majorHAnsi" w:hAnsiTheme="majorHAnsi"/>
          <w:b/>
          <w:bCs/>
          <w:sz w:val="28"/>
          <w:szCs w:val="28"/>
          <w:lang w:val="fr"/>
        </w:rPr>
        <w:t>contacter :</w:t>
      </w:r>
    </w:p>
    <w:p w:rsidR="00731378" w:rsidRPr="00D31631" w:rsidRDefault="00731378" w:rsidP="00731378">
      <w:pPr>
        <w:rPr>
          <w:rFonts w:asciiTheme="majorHAnsi" w:hAnsiTheme="majorHAnsi"/>
          <w:b/>
          <w:sz w:val="28"/>
          <w:szCs w:val="28"/>
        </w:rPr>
      </w:pPr>
      <w:r w:rsidRPr="002C06AA">
        <w:t>Anas Kasak</w:t>
      </w:r>
      <w:r w:rsidRPr="002C06AA">
        <w:br/>
        <w:t>CrescentRating</w:t>
      </w:r>
      <w:r w:rsidRPr="002C06AA">
        <w:br/>
        <w:t xml:space="preserve">Tel: +44 7971 735090 </w:t>
      </w:r>
      <w:r w:rsidRPr="002C06AA">
        <w:br/>
        <w:t xml:space="preserve">Email: </w:t>
      </w:r>
      <w:hyperlink r:id="rId8" w:history="1">
        <w:r w:rsidRPr="002C06AA">
          <w:rPr>
            <w:rStyle w:val="Hyperlink"/>
            <w:rFonts w:asciiTheme="majorHAnsi" w:hAnsiTheme="majorHAnsi"/>
            <w:sz w:val="28"/>
            <w:szCs w:val="28"/>
          </w:rPr>
          <w:t>anas@crescentrating.com</w:t>
        </w:r>
      </w:hyperlink>
    </w:p>
    <w:p w:rsidR="00D31631" w:rsidRDefault="00D31631" w:rsidP="00D31631">
      <w:pPr>
        <w:spacing w:after="0"/>
        <w:rPr>
          <w:rFonts w:asciiTheme="majorHAnsi" w:hAnsiTheme="majorHAnsi"/>
          <w:sz w:val="28"/>
          <w:szCs w:val="28"/>
        </w:rPr>
      </w:pPr>
      <w:r w:rsidRPr="002C06AA">
        <w:rPr>
          <w:rFonts w:asciiTheme="majorHAnsi" w:hAnsiTheme="majorHAnsi"/>
          <w:sz w:val="28"/>
          <w:szCs w:val="28"/>
        </w:rPr>
        <w:t>Venture Liang</w:t>
      </w:r>
    </w:p>
    <w:p w:rsidR="00D31631" w:rsidRDefault="00D31631" w:rsidP="00D31631">
      <w:pPr>
        <w:spacing w:after="0"/>
        <w:rPr>
          <w:rFonts w:asciiTheme="majorHAnsi" w:hAnsiTheme="majorHAnsi"/>
          <w:sz w:val="28"/>
          <w:szCs w:val="28"/>
        </w:rPr>
      </w:pPr>
      <w:r w:rsidRPr="002C06AA">
        <w:rPr>
          <w:rFonts w:asciiTheme="majorHAnsi" w:hAnsiTheme="majorHAnsi"/>
          <w:sz w:val="28"/>
          <w:szCs w:val="28"/>
        </w:rPr>
        <w:t>MasterCard</w:t>
      </w:r>
    </w:p>
    <w:p w:rsidR="00D31631" w:rsidRDefault="00D31631" w:rsidP="00D31631">
      <w:pPr>
        <w:spacing w:after="0"/>
        <w:rPr>
          <w:rFonts w:asciiTheme="majorHAnsi" w:hAnsiTheme="majorHAnsi"/>
          <w:sz w:val="28"/>
          <w:szCs w:val="28"/>
        </w:rPr>
      </w:pPr>
      <w:r w:rsidRPr="002C06AA">
        <w:rPr>
          <w:rFonts w:asciiTheme="majorHAnsi" w:hAnsiTheme="majorHAnsi"/>
          <w:sz w:val="28"/>
          <w:szCs w:val="28"/>
        </w:rPr>
        <w:t>Tel: +65 6390 5973</w:t>
      </w:r>
    </w:p>
    <w:p w:rsidR="00D31631" w:rsidRDefault="00D31631" w:rsidP="00D31631">
      <w:pPr>
        <w:spacing w:after="0"/>
        <w:rPr>
          <w:rFonts w:asciiTheme="majorHAnsi" w:hAnsiTheme="majorHAnsi"/>
          <w:sz w:val="28"/>
          <w:szCs w:val="28"/>
        </w:rPr>
      </w:pPr>
      <w:r w:rsidRPr="002C06AA">
        <w:t xml:space="preserve">Email: </w:t>
      </w:r>
      <w:hyperlink r:id="rId9" w:history="1">
        <w:r w:rsidRPr="002C06AA">
          <w:rPr>
            <w:rStyle w:val="Hyperlink"/>
            <w:rFonts w:asciiTheme="majorHAnsi" w:hAnsiTheme="majorHAnsi"/>
            <w:sz w:val="28"/>
            <w:szCs w:val="28"/>
          </w:rPr>
          <w:t>venture.liang@mastercard.com</w:t>
        </w:r>
      </w:hyperlink>
    </w:p>
    <w:p w:rsidR="00D31631" w:rsidRDefault="00D31631" w:rsidP="00D31631">
      <w:pPr>
        <w:spacing w:after="0"/>
        <w:rPr>
          <w:rFonts w:asciiTheme="majorHAnsi" w:hAnsiTheme="majorHAnsi"/>
          <w:sz w:val="28"/>
          <w:szCs w:val="28"/>
        </w:rPr>
      </w:pPr>
    </w:p>
    <w:p w:rsidR="00D31631" w:rsidRDefault="00D31631" w:rsidP="00D31631">
      <w:pPr>
        <w:spacing w:after="0"/>
        <w:rPr>
          <w:rFonts w:asciiTheme="majorHAnsi" w:hAnsiTheme="majorHAnsi"/>
          <w:sz w:val="28"/>
          <w:szCs w:val="28"/>
        </w:rPr>
      </w:pPr>
      <w:r w:rsidRPr="002C06AA">
        <w:rPr>
          <w:rFonts w:asciiTheme="majorHAnsi" w:hAnsiTheme="majorHAnsi"/>
          <w:sz w:val="28"/>
          <w:szCs w:val="28"/>
        </w:rPr>
        <w:t>Samantha Yong</w:t>
      </w:r>
    </w:p>
    <w:p w:rsidR="00D31631" w:rsidRDefault="00D31631" w:rsidP="00D31631">
      <w:pPr>
        <w:spacing w:after="0"/>
        <w:rPr>
          <w:rFonts w:asciiTheme="majorHAnsi" w:hAnsiTheme="majorHAnsi"/>
          <w:sz w:val="28"/>
          <w:szCs w:val="28"/>
        </w:rPr>
      </w:pPr>
      <w:r w:rsidRPr="002C06AA">
        <w:rPr>
          <w:rFonts w:asciiTheme="majorHAnsi" w:hAnsiTheme="majorHAnsi"/>
          <w:sz w:val="28"/>
          <w:szCs w:val="28"/>
        </w:rPr>
        <w:t>Weber Shandwick</w:t>
      </w:r>
      <w:r w:rsidRPr="002C06AA">
        <w:rPr>
          <w:rFonts w:asciiTheme="majorHAnsi" w:hAnsiTheme="majorHAnsi"/>
          <w:sz w:val="28"/>
          <w:szCs w:val="28"/>
        </w:rPr>
        <w:br/>
        <w:t>Tel: +65 6825 8053</w:t>
      </w:r>
    </w:p>
    <w:p w:rsidR="00D31631" w:rsidRPr="002C06AA" w:rsidRDefault="002C06AA" w:rsidP="00D31631">
      <w:pPr>
        <w:rPr>
          <w:rFonts w:asciiTheme="majorHAnsi" w:hAnsiTheme="majorHAnsi"/>
          <w:sz w:val="28"/>
          <w:szCs w:val="28"/>
          <w:lang w:val="fr-FR"/>
        </w:rPr>
      </w:pPr>
      <w:r>
        <w:rPr>
          <w:lang w:val="fr"/>
        </w:rPr>
        <w:t>Email :</w:t>
      </w:r>
      <w:r w:rsidR="00D31631">
        <w:rPr>
          <w:lang w:val="fr"/>
        </w:rPr>
        <w:t xml:space="preserve"> </w:t>
      </w:r>
      <w:hyperlink r:id="rId10" w:history="1">
        <w:r w:rsidR="00D31631">
          <w:rPr>
            <w:rStyle w:val="Hyperlink"/>
            <w:rFonts w:asciiTheme="majorHAnsi" w:hAnsiTheme="majorHAnsi"/>
            <w:sz w:val="28"/>
            <w:szCs w:val="28"/>
            <w:lang w:val="fr"/>
          </w:rPr>
          <w:t>samyong@webershandwick.com</w:t>
        </w:r>
      </w:hyperlink>
    </w:p>
    <w:p w:rsidR="00D31631" w:rsidRPr="002C06AA" w:rsidRDefault="00D31631" w:rsidP="00D31631">
      <w:pPr>
        <w:rPr>
          <w:rFonts w:asciiTheme="majorHAnsi" w:hAnsiTheme="majorHAnsi"/>
          <w:b/>
          <w:sz w:val="28"/>
          <w:szCs w:val="28"/>
          <w:lang w:val="fr-FR"/>
        </w:rPr>
      </w:pPr>
      <w:r>
        <w:rPr>
          <w:rFonts w:asciiTheme="majorHAnsi" w:hAnsiTheme="majorHAnsi"/>
          <w:b/>
          <w:bCs/>
          <w:sz w:val="28"/>
          <w:szCs w:val="28"/>
          <w:lang w:val="fr"/>
        </w:rPr>
        <w:t>À propos de CrescentRating Pte Ltd</w:t>
      </w:r>
    </w:p>
    <w:p w:rsidR="00731378" w:rsidRPr="002C06AA" w:rsidRDefault="00731378" w:rsidP="00731378">
      <w:pPr>
        <w:suppressAutoHyphens/>
        <w:rPr>
          <w:rFonts w:asciiTheme="majorHAnsi" w:hAnsiTheme="majorHAnsi" w:cs="Arial"/>
          <w:sz w:val="28"/>
          <w:szCs w:val="28"/>
          <w:lang w:val="fr-FR"/>
        </w:rPr>
      </w:pPr>
      <w:r>
        <w:rPr>
          <w:rFonts w:asciiTheme="majorHAnsi" w:hAnsiTheme="majorHAnsi"/>
          <w:sz w:val="28"/>
          <w:szCs w:val="28"/>
          <w:lang w:val="fr"/>
        </w:rPr>
        <w:t xml:space="preserve">CrescentRating est la principale autorité mondiale sur les voyages respectueux de halal. La vision de la société est de diriger, d'innover et de conduire ce segment grâce à des solutions pratiques et livrables dans ce qui est considéré aujourd'hui comme l'un des segments à plus forte croissance dans le secteur du tourisme. La société utilise la perspicacité, l'industrie intelligence. </w:t>
      </w:r>
      <w:r w:rsidR="002C06AA">
        <w:rPr>
          <w:rFonts w:asciiTheme="majorHAnsi" w:hAnsiTheme="majorHAnsi"/>
          <w:sz w:val="28"/>
          <w:szCs w:val="28"/>
          <w:lang w:val="fr"/>
        </w:rPr>
        <w:t>Style</w:t>
      </w:r>
      <w:r>
        <w:rPr>
          <w:rFonts w:asciiTheme="majorHAnsi" w:hAnsiTheme="majorHAnsi"/>
          <w:sz w:val="28"/>
          <w:szCs w:val="28"/>
          <w:lang w:val="fr"/>
        </w:rPr>
        <w:t xml:space="preserve"> de vie, le comportement et la recherche sur les besoins du voyageur musulman pour fournir des conseils sur tous les aspects </w:t>
      </w:r>
      <w:r w:rsidR="002C06AA">
        <w:rPr>
          <w:rFonts w:asciiTheme="majorHAnsi" w:hAnsiTheme="majorHAnsi"/>
          <w:sz w:val="28"/>
          <w:szCs w:val="28"/>
          <w:lang w:val="fr"/>
        </w:rPr>
        <w:t>des</w:t>
      </w:r>
      <w:r>
        <w:rPr>
          <w:rFonts w:asciiTheme="majorHAnsi" w:hAnsiTheme="majorHAnsi"/>
          <w:sz w:val="28"/>
          <w:szCs w:val="28"/>
          <w:lang w:val="fr"/>
        </w:rPr>
        <w:t xml:space="preserve"> voyages respectueux de halal à des organisations travers le monde. </w:t>
      </w:r>
    </w:p>
    <w:p w:rsidR="00731378" w:rsidRPr="002C06AA" w:rsidRDefault="00731378" w:rsidP="00731378">
      <w:pPr>
        <w:rPr>
          <w:rFonts w:asciiTheme="majorHAnsi" w:hAnsiTheme="majorHAnsi"/>
          <w:sz w:val="28"/>
          <w:szCs w:val="28"/>
          <w:lang w:val="fr-FR"/>
        </w:rPr>
      </w:pPr>
      <w:r>
        <w:rPr>
          <w:rFonts w:asciiTheme="majorHAnsi" w:hAnsiTheme="majorHAnsi"/>
          <w:sz w:val="28"/>
          <w:szCs w:val="28"/>
          <w:lang w:val="fr"/>
        </w:rPr>
        <w:t xml:space="preserve">Les services de CrescentRating comprennent maintenant note et l'accréditation, de la recherche et de conseil, des ateliers et la formation, le classement et les indices, soutien de événements/partenariats et le contenu provisionnement. </w:t>
      </w:r>
    </w:p>
    <w:p w:rsidR="00731378" w:rsidRPr="002C06AA" w:rsidRDefault="00731378" w:rsidP="00731378">
      <w:pPr>
        <w:spacing w:after="0" w:line="240" w:lineRule="auto"/>
        <w:ind w:right="175"/>
        <w:rPr>
          <w:rStyle w:val="Hyperlink"/>
          <w:rFonts w:asciiTheme="majorHAnsi" w:hAnsiTheme="majorHAnsi"/>
          <w:lang w:val="fr-FR"/>
        </w:rPr>
      </w:pPr>
      <w:r>
        <w:rPr>
          <w:b/>
          <w:bCs/>
          <w:lang w:val="fr"/>
        </w:rPr>
        <w:t xml:space="preserve">Le site </w:t>
      </w:r>
      <w:r w:rsidR="002C06AA">
        <w:rPr>
          <w:b/>
          <w:bCs/>
          <w:lang w:val="fr"/>
        </w:rPr>
        <w:t>Web :</w:t>
      </w:r>
      <w:r>
        <w:rPr>
          <w:b/>
          <w:bCs/>
          <w:lang w:val="fr"/>
        </w:rPr>
        <w:t xml:space="preserve"> </w:t>
      </w:r>
      <w:r>
        <w:rPr>
          <w:rStyle w:val="Hyperlink"/>
          <w:rFonts w:asciiTheme="majorHAnsi" w:hAnsiTheme="majorHAnsi"/>
          <w:lang w:val="fr"/>
        </w:rPr>
        <w:t>www.crescentrating.com</w:t>
      </w:r>
    </w:p>
    <w:p w:rsidR="00731378" w:rsidRPr="009820D9" w:rsidRDefault="00731378" w:rsidP="00731378">
      <w:pPr>
        <w:spacing w:after="0" w:line="240" w:lineRule="auto"/>
        <w:ind w:right="175"/>
        <w:rPr>
          <w:rFonts w:asciiTheme="majorHAnsi" w:hAnsiTheme="majorHAnsi"/>
        </w:rPr>
      </w:pPr>
      <w:r w:rsidRPr="002C06AA">
        <w:rPr>
          <w:b/>
          <w:bCs/>
        </w:rPr>
        <w:t xml:space="preserve">Twitter: </w:t>
      </w:r>
      <w:hyperlink r:id="rId11" w:history="1">
        <w:r w:rsidRPr="002C06AA">
          <w:rPr>
            <w:rStyle w:val="Hyperlink"/>
            <w:rFonts w:asciiTheme="majorHAnsi" w:hAnsiTheme="majorHAnsi"/>
          </w:rPr>
          <w:t>http://twitter.com/crescentrating</w:t>
        </w:r>
      </w:hyperlink>
    </w:p>
    <w:p w:rsidR="00731378" w:rsidRPr="009820D9" w:rsidRDefault="00731378" w:rsidP="00731378">
      <w:pPr>
        <w:spacing w:after="0" w:line="240" w:lineRule="auto"/>
        <w:ind w:right="175"/>
        <w:rPr>
          <w:rFonts w:asciiTheme="majorHAnsi" w:hAnsiTheme="majorHAnsi"/>
        </w:rPr>
      </w:pPr>
      <w:r w:rsidRPr="002C06AA">
        <w:rPr>
          <w:b/>
          <w:bCs/>
        </w:rPr>
        <w:t xml:space="preserve">LinkedIn: </w:t>
      </w:r>
      <w:hyperlink r:id="rId12" w:history="1">
        <w:r w:rsidRPr="002C06AA">
          <w:rPr>
            <w:rStyle w:val="Hyperlink"/>
            <w:rFonts w:asciiTheme="majorHAnsi" w:hAnsiTheme="majorHAnsi"/>
          </w:rPr>
          <w:t>https://www.linkedin.com/company/crescentrating</w:t>
        </w:r>
      </w:hyperlink>
    </w:p>
    <w:p w:rsidR="00731378" w:rsidRPr="002B298D" w:rsidRDefault="00731378" w:rsidP="00731378">
      <w:pPr>
        <w:rPr>
          <w:rFonts w:asciiTheme="majorHAnsi" w:hAnsiTheme="majorHAnsi"/>
          <w:sz w:val="28"/>
          <w:szCs w:val="28"/>
        </w:rPr>
      </w:pPr>
    </w:p>
    <w:p w:rsidR="00731378" w:rsidRPr="002C06AA" w:rsidRDefault="00731378" w:rsidP="00731378">
      <w:pPr>
        <w:rPr>
          <w:rFonts w:asciiTheme="majorHAnsi" w:hAnsiTheme="majorHAnsi"/>
          <w:color w:val="333333"/>
          <w:sz w:val="28"/>
          <w:lang w:val="fr-FR"/>
        </w:rPr>
      </w:pPr>
      <w:r>
        <w:rPr>
          <w:b/>
          <w:bCs/>
          <w:lang w:val="fr"/>
        </w:rPr>
        <w:t>À propos de MasterCard</w:t>
      </w:r>
      <w:r>
        <w:rPr>
          <w:lang w:val="fr"/>
        </w:rPr>
        <w:t xml:space="preserve"> </w:t>
      </w:r>
      <w:r>
        <w:rPr>
          <w:lang w:val="fr"/>
        </w:rPr>
        <w:br/>
      </w:r>
      <w:r>
        <w:rPr>
          <w:lang w:val="fr"/>
        </w:rPr>
        <w:br/>
      </w:r>
      <w:r>
        <w:rPr>
          <w:b/>
          <w:bCs/>
          <w:u w:val="single"/>
          <w:lang w:val="fr"/>
        </w:rPr>
        <w:t>MasterCard</w:t>
      </w:r>
      <w:r>
        <w:rPr>
          <w:lang w:val="fr"/>
        </w:rPr>
        <w:t xml:space="preserve"> (</w:t>
      </w:r>
      <w:r w:rsidR="002C06AA">
        <w:rPr>
          <w:lang w:val="fr"/>
        </w:rPr>
        <w:t>NYSE :</w:t>
      </w:r>
      <w:r>
        <w:rPr>
          <w:lang w:val="fr"/>
        </w:rPr>
        <w:t xml:space="preserve"> MA), </w:t>
      </w:r>
      <w:hyperlink r:id="rId13" w:history="1">
        <w:r>
          <w:rPr>
            <w:rStyle w:val="Hyperlink"/>
            <w:rFonts w:asciiTheme="majorHAnsi" w:hAnsiTheme="majorHAnsi"/>
            <w:b/>
            <w:bCs/>
            <w:sz w:val="28"/>
            <w:lang w:val="fr"/>
          </w:rPr>
          <w:t>www.mastercard.com</w:t>
        </w:r>
      </w:hyperlink>
      <w:r>
        <w:rPr>
          <w:lang w:val="fr"/>
        </w:rPr>
        <w:t>, est une société de technologie dans l'industrie mondiale des paiements. Nous exploitons le plus rapide réseau de traitement des paiements dans le monde, connectant les consommateurs, les institutions financières, les commerçants, les gouvernements et les entreprises dans plus de 210 destinations et territoires. Les produits et solutions de MasterCard rendent les activités de commerce de tous les jours - comme le shopping, les voyages, la gestion d'une entreprise et la gestion des finances - plus faciles, plus sûrs et plus efficaces pour tout le monde. Suivez-nous sur Twitter @MasterCardAP et @MasterCardNews, se joindre à la discussion sur le Cashless Pioneers Blog, et souscrire pour les dernières nouvelles sur le Engagement Bureau.</w:t>
      </w:r>
    </w:p>
    <w:p w:rsidR="00B341F6" w:rsidRPr="002C06AA" w:rsidRDefault="00B341F6">
      <w:pPr>
        <w:rPr>
          <w:lang w:val="fr-FR"/>
        </w:rPr>
      </w:pPr>
    </w:p>
    <w:sectPr w:rsidR="00B341F6" w:rsidRPr="002C06AA" w:rsidSect="000A63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437" w:rsidRDefault="00D81437" w:rsidP="00DE3BD6">
      <w:pPr>
        <w:spacing w:after="0" w:line="240" w:lineRule="auto"/>
      </w:pPr>
      <w:r>
        <w:separator/>
      </w:r>
    </w:p>
  </w:endnote>
  <w:endnote w:type="continuationSeparator" w:id="0">
    <w:p w:rsidR="00D81437" w:rsidRDefault="00D81437" w:rsidP="00DE3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437" w:rsidRDefault="00D81437" w:rsidP="00DE3BD6">
      <w:pPr>
        <w:spacing w:after="0" w:line="240" w:lineRule="auto"/>
      </w:pPr>
      <w:r>
        <w:separator/>
      </w:r>
    </w:p>
  </w:footnote>
  <w:footnote w:type="continuationSeparator" w:id="0">
    <w:p w:rsidR="00D81437" w:rsidRDefault="00D81437" w:rsidP="00DE3B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62527"/>
    <w:multiLevelType w:val="hybridMultilevel"/>
    <w:tmpl w:val="13748BB4"/>
    <w:lvl w:ilvl="0" w:tplc="76B431E8">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786"/>
    <w:rsid w:val="00043C15"/>
    <w:rsid w:val="00071D8D"/>
    <w:rsid w:val="000A63D0"/>
    <w:rsid w:val="000C4E17"/>
    <w:rsid w:val="00114C5C"/>
    <w:rsid w:val="00127AE3"/>
    <w:rsid w:val="00170213"/>
    <w:rsid w:val="0017174F"/>
    <w:rsid w:val="001D132D"/>
    <w:rsid w:val="001D2B93"/>
    <w:rsid w:val="001F6948"/>
    <w:rsid w:val="002C06AA"/>
    <w:rsid w:val="003B3AAA"/>
    <w:rsid w:val="003C44AC"/>
    <w:rsid w:val="003C7DB8"/>
    <w:rsid w:val="004E55B1"/>
    <w:rsid w:val="004F3BF7"/>
    <w:rsid w:val="005201B0"/>
    <w:rsid w:val="00525EA7"/>
    <w:rsid w:val="005435BF"/>
    <w:rsid w:val="0055373E"/>
    <w:rsid w:val="005F4033"/>
    <w:rsid w:val="00611552"/>
    <w:rsid w:val="00620870"/>
    <w:rsid w:val="006517F0"/>
    <w:rsid w:val="00660B39"/>
    <w:rsid w:val="006C7981"/>
    <w:rsid w:val="006D2301"/>
    <w:rsid w:val="00731378"/>
    <w:rsid w:val="007428CD"/>
    <w:rsid w:val="00772FEC"/>
    <w:rsid w:val="007E07E1"/>
    <w:rsid w:val="00855DBF"/>
    <w:rsid w:val="008857C4"/>
    <w:rsid w:val="0089634D"/>
    <w:rsid w:val="008F652A"/>
    <w:rsid w:val="009026BA"/>
    <w:rsid w:val="00906ABA"/>
    <w:rsid w:val="00907872"/>
    <w:rsid w:val="0095739F"/>
    <w:rsid w:val="00967209"/>
    <w:rsid w:val="009B5985"/>
    <w:rsid w:val="00A343DA"/>
    <w:rsid w:val="00A36BBF"/>
    <w:rsid w:val="00AD032E"/>
    <w:rsid w:val="00B16F79"/>
    <w:rsid w:val="00B341F6"/>
    <w:rsid w:val="00B36307"/>
    <w:rsid w:val="00BE50C1"/>
    <w:rsid w:val="00BF4DB5"/>
    <w:rsid w:val="00C47533"/>
    <w:rsid w:val="00C4787A"/>
    <w:rsid w:val="00C83A6E"/>
    <w:rsid w:val="00C93083"/>
    <w:rsid w:val="00CC27BD"/>
    <w:rsid w:val="00CD128A"/>
    <w:rsid w:val="00D31580"/>
    <w:rsid w:val="00D31631"/>
    <w:rsid w:val="00D81437"/>
    <w:rsid w:val="00D85CD6"/>
    <w:rsid w:val="00DA6134"/>
    <w:rsid w:val="00DB5125"/>
    <w:rsid w:val="00DD1F1A"/>
    <w:rsid w:val="00DE3BD6"/>
    <w:rsid w:val="00EB76E6"/>
    <w:rsid w:val="00EC1786"/>
    <w:rsid w:val="00EF58F9"/>
    <w:rsid w:val="00F32F67"/>
    <w:rsid w:val="00F620BE"/>
    <w:rsid w:val="00FA1A55"/>
    <w:rsid w:val="00FC06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5:docId w15:val="{9AE15B0E-15CF-4A94-8F9D-0B8A1759A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786"/>
    <w:pPr>
      <w:ind w:left="720"/>
      <w:contextualSpacing/>
    </w:pPr>
  </w:style>
  <w:style w:type="character" w:styleId="Hyperlink">
    <w:name w:val="Hyperlink"/>
    <w:basedOn w:val="DefaultParagraphFont"/>
    <w:uiPriority w:val="99"/>
    <w:unhideWhenUsed/>
    <w:rsid w:val="00EC1786"/>
    <w:rPr>
      <w:color w:val="0000FF"/>
      <w:u w:val="single"/>
    </w:rPr>
  </w:style>
  <w:style w:type="table" w:customStyle="1" w:styleId="PlainTable31">
    <w:name w:val="Plain Table 31"/>
    <w:basedOn w:val="TableNormal"/>
    <w:uiPriority w:val="43"/>
    <w:rsid w:val="00EC1786"/>
    <w:pPr>
      <w:spacing w:after="0" w:line="240" w:lineRule="auto"/>
    </w:pPr>
    <w:rPr>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EC1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786"/>
    <w:rPr>
      <w:rFonts w:ascii="Tahoma" w:eastAsiaTheme="minorEastAsia" w:hAnsi="Tahoma" w:cs="Tahoma"/>
      <w:sz w:val="16"/>
      <w:szCs w:val="16"/>
      <w:lang w:val="en-US"/>
    </w:rPr>
  </w:style>
  <w:style w:type="table" w:styleId="TableGrid">
    <w:name w:val="Table Grid"/>
    <w:basedOn w:val="TableNormal"/>
    <w:uiPriority w:val="39"/>
    <w:rsid w:val="006C7981"/>
    <w:pPr>
      <w:spacing w:after="0" w:line="240" w:lineRule="auto"/>
    </w:pPr>
    <w:rPr>
      <w:rFonts w:eastAsiaTheme="minorHAnsi"/>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BD6"/>
    <w:pPr>
      <w:tabs>
        <w:tab w:val="center" w:pos="4320"/>
        <w:tab w:val="right" w:pos="8640"/>
      </w:tabs>
      <w:spacing w:after="0" w:line="240" w:lineRule="auto"/>
    </w:pPr>
  </w:style>
  <w:style w:type="character" w:customStyle="1" w:styleId="HeaderChar">
    <w:name w:val="Header Char"/>
    <w:basedOn w:val="DefaultParagraphFont"/>
    <w:link w:val="Header"/>
    <w:uiPriority w:val="99"/>
    <w:rsid w:val="00DE3BD6"/>
  </w:style>
  <w:style w:type="paragraph" w:styleId="Footer">
    <w:name w:val="footer"/>
    <w:basedOn w:val="Normal"/>
    <w:link w:val="FooterChar"/>
    <w:uiPriority w:val="99"/>
    <w:unhideWhenUsed/>
    <w:rsid w:val="00DE3BD6"/>
    <w:pPr>
      <w:tabs>
        <w:tab w:val="center" w:pos="4320"/>
        <w:tab w:val="right" w:pos="8640"/>
      </w:tabs>
      <w:spacing w:after="0" w:line="240" w:lineRule="auto"/>
    </w:pPr>
  </w:style>
  <w:style w:type="character" w:customStyle="1" w:styleId="FooterChar">
    <w:name w:val="Footer Char"/>
    <w:basedOn w:val="DefaultParagraphFont"/>
    <w:link w:val="Footer"/>
    <w:uiPriority w:val="99"/>
    <w:rsid w:val="00DE3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s@crescentrating.com" TargetMode="External"/><Relationship Id="rId13" Type="http://schemas.openxmlformats.org/officeDocument/2006/relationships/hyperlink" Target="http://www.mastercard.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inkedin.com/company/crescentra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witter.com/crescentrati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amyong@webershandwick.com" TargetMode="External"/><Relationship Id="rId4" Type="http://schemas.openxmlformats.org/officeDocument/2006/relationships/webSettings" Target="webSettings.xml"/><Relationship Id="rId9" Type="http://schemas.openxmlformats.org/officeDocument/2006/relationships/hyperlink" Target="mailto:venture.liang@mastercard.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1317</Words>
  <Characters>7510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 Kasak</dc:creator>
  <cp:lastModifiedBy>Poornima</cp:lastModifiedBy>
  <cp:revision>3</cp:revision>
  <dcterms:created xsi:type="dcterms:W3CDTF">2016-03-24T08:06:00Z</dcterms:created>
  <dcterms:modified xsi:type="dcterms:W3CDTF">2016-03-24T08:29:00Z</dcterms:modified>
</cp:coreProperties>
</file>